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E7C3D">
      <w:pPr>
        <w:jc w:val="center"/>
        <w:rPr>
          <w:rFonts w:eastAsia="仿宋"/>
          <w:sz w:val="28"/>
          <w:highlight w:val="none"/>
        </w:rPr>
      </w:pPr>
      <w:bookmarkStart w:id="0" w:name="_Toc6805"/>
      <w:bookmarkStart w:id="1" w:name="_Toc28330"/>
      <w:bookmarkStart w:id="13" w:name="_GoBack"/>
      <w:bookmarkEnd w:id="13"/>
      <w:r>
        <w:rPr>
          <w:rFonts w:eastAsia="仿宋"/>
          <w:b/>
          <w:kern w:val="44"/>
          <w:sz w:val="28"/>
          <w:highlight w:val="none"/>
        </w:rPr>
        <w:t>第四章  采购需求</w:t>
      </w:r>
      <w:bookmarkEnd w:id="0"/>
      <w:bookmarkEnd w:id="1"/>
    </w:p>
    <w:p w14:paraId="4D774B9A">
      <w:pPr>
        <w:jc w:val="center"/>
        <w:rPr>
          <w:rFonts w:eastAsia="仿宋"/>
          <w:b/>
          <w:sz w:val="28"/>
          <w:szCs w:val="28"/>
          <w:highlight w:val="none"/>
        </w:rPr>
      </w:pPr>
      <w:r>
        <w:rPr>
          <w:rFonts w:eastAsia="仿宋"/>
          <w:b/>
          <w:sz w:val="28"/>
          <w:szCs w:val="28"/>
          <w:highlight w:val="none"/>
        </w:rPr>
        <w:t>关于采购需求的说明</w:t>
      </w:r>
    </w:p>
    <w:p w14:paraId="594A9996">
      <w:pPr>
        <w:topLinePunct/>
        <w:adjustRightInd w:val="0"/>
        <w:spacing w:line="360" w:lineRule="exact"/>
        <w:ind w:firstLine="480" w:firstLineChars="200"/>
        <w:contextualSpacing/>
        <w:rPr>
          <w:rFonts w:ascii="仿宋" w:hAnsi="仿宋" w:eastAsia="仿宋" w:cs="仿宋"/>
          <w:sz w:val="24"/>
          <w:szCs w:val="24"/>
          <w:highlight w:val="none"/>
        </w:rPr>
      </w:pPr>
      <w:r>
        <w:rPr>
          <w:rFonts w:hint="eastAsia" w:ascii="仿宋" w:hAnsi="仿宋" w:eastAsia="仿宋" w:cs="仿宋"/>
          <w:sz w:val="24"/>
          <w:szCs w:val="24"/>
          <w:highlight w:val="none"/>
        </w:rPr>
        <w:t>1.以下《采购需求说明》及《采购需求一览表》所列内容为采购人所提采购需求，供应商应认真仔细研究，按磋商文件要求响应。</w:t>
      </w:r>
    </w:p>
    <w:p w14:paraId="65C70D81">
      <w:pPr>
        <w:pStyle w:val="49"/>
        <w:topLinePunct/>
        <w:adjustRightInd w:val="0"/>
        <w:spacing w:line="360" w:lineRule="exact"/>
        <w:ind w:firstLine="480" w:firstLineChars="200"/>
        <w:contextualSpacing/>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kern w:val="0"/>
          <w:sz w:val="24"/>
          <w:szCs w:val="24"/>
          <w:highlight w:val="none"/>
        </w:rPr>
        <w:t>对于不允许偏离的实质性要求，采购人或者采购代理机构应当在磋商文件中规定，并以醒目的方式标明，醒目方式为标注“*”。本章中标注“*”的要求为实质性服务要求，必须满足并提供磋商文件要求的资料。对于实质性要求的，应使用“*”标注；如未使用“*”标注，即便使用“拒绝”“不接受”“无效”“不得”“必须”“应当”等文字表述的，也视为非实质性要求。</w:t>
      </w:r>
    </w:p>
    <w:p w14:paraId="3656CAD6">
      <w:pPr>
        <w:pStyle w:val="49"/>
        <w:spacing w:line="360" w:lineRule="exact"/>
        <w:ind w:firstLine="480" w:firstLineChars="200"/>
        <w:contextualSpacing/>
        <w:rPr>
          <w:rFonts w:ascii="仿宋" w:hAnsi="仿宋" w:eastAsia="仿宋" w:cs="仿宋"/>
          <w:kern w:val="0"/>
          <w:sz w:val="24"/>
          <w:szCs w:val="24"/>
          <w:highlight w:val="none"/>
        </w:rPr>
      </w:pPr>
      <w:r>
        <w:rPr>
          <w:rFonts w:hint="eastAsia" w:ascii="仿宋" w:hAnsi="仿宋" w:eastAsia="仿宋" w:cs="仿宋"/>
          <w:sz w:val="24"/>
          <w:szCs w:val="24"/>
          <w:highlight w:val="none"/>
        </w:rPr>
        <w:t>3.本项目采购文件第七章 “响应文件格式”中内容应根据项目需要和</w:t>
      </w:r>
      <w:r>
        <w:rPr>
          <w:rFonts w:hint="eastAsia" w:ascii="仿宋" w:hAnsi="仿宋" w:eastAsia="仿宋" w:cs="仿宋"/>
          <w:kern w:val="0"/>
          <w:sz w:val="24"/>
          <w:szCs w:val="24"/>
          <w:highlight w:val="none"/>
        </w:rPr>
        <w:t>评审程序及评审方法和标准规定填写；如不需要，则填写无。</w:t>
      </w:r>
    </w:p>
    <w:p w14:paraId="5A6D627B">
      <w:pPr>
        <w:pStyle w:val="49"/>
        <w:spacing w:line="360" w:lineRule="exact"/>
        <w:ind w:firstLine="480" w:firstLineChars="200"/>
        <w:contextualSpacing/>
        <w:rPr>
          <w:rFonts w:ascii="仿宋" w:hAnsi="仿宋" w:eastAsia="仿宋" w:cs="仿宋"/>
          <w:sz w:val="24"/>
          <w:szCs w:val="24"/>
          <w:highlight w:val="none"/>
        </w:rPr>
      </w:pPr>
      <w:r>
        <w:rPr>
          <w:rFonts w:hint="eastAsia" w:ascii="仿宋" w:hAnsi="仿宋" w:eastAsia="仿宋" w:cs="仿宋"/>
          <w:sz w:val="24"/>
          <w:szCs w:val="24"/>
          <w:highlight w:val="none"/>
        </w:rPr>
        <w:t>4.成交供应商和采购人应按照采购文件确定的事项签订政府采购合同，所签订的合同不得对采购文件确定的事项和供应商的响应文件作实质性修改。</w:t>
      </w:r>
    </w:p>
    <w:p w14:paraId="3E61C773">
      <w:pPr>
        <w:pStyle w:val="49"/>
        <w:spacing w:line="360" w:lineRule="auto"/>
        <w:ind w:firstLine="480" w:firstLineChars="200"/>
        <w:jc w:val="left"/>
        <w:rPr>
          <w:rFonts w:ascii="仿宋" w:hAnsi="仿宋" w:eastAsia="仿宋" w:cs="仿宋"/>
          <w:sz w:val="24"/>
          <w:szCs w:val="24"/>
          <w:highlight w:val="none"/>
        </w:rPr>
      </w:pPr>
    </w:p>
    <w:p w14:paraId="4D074D87">
      <w:pPr>
        <w:jc w:val="center"/>
        <w:rPr>
          <w:rFonts w:eastAsia="仿宋"/>
          <w:sz w:val="24"/>
          <w:highlight w:val="none"/>
        </w:rPr>
      </w:pPr>
      <w:r>
        <w:rPr>
          <w:rFonts w:eastAsia="仿宋"/>
          <w:b/>
          <w:sz w:val="28"/>
          <w:szCs w:val="28"/>
          <w:highlight w:val="none"/>
        </w:rPr>
        <w:t>采购需求说明</w:t>
      </w:r>
    </w:p>
    <w:p w14:paraId="79443371">
      <w:pPr>
        <w:keepNext w:val="0"/>
        <w:keepLines w:val="0"/>
        <w:pageBreakBefore w:val="0"/>
        <w:widowControl w:val="0"/>
        <w:numPr>
          <w:ilvl w:val="0"/>
          <w:numId w:val="1"/>
        </w:numPr>
        <w:kinsoku/>
        <w:wordWrap/>
        <w:overflowPunct/>
        <w:topLinePunct w:val="0"/>
        <w:autoSpaceDE/>
        <w:autoSpaceDN/>
        <w:bidi w:val="0"/>
        <w:adjustRightInd/>
        <w:snapToGrid w:val="0"/>
        <w:spacing w:after="0" w:line="500" w:lineRule="exact"/>
        <w:ind w:firstLine="643"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b/>
          <w:bCs/>
          <w:kern w:val="0"/>
          <w:sz w:val="32"/>
          <w:szCs w:val="32"/>
          <w:highlight w:val="none"/>
          <w:lang w:val="en-US" w:eastAsia="zh-CN"/>
        </w:rPr>
        <w:t>项目内容：</w:t>
      </w:r>
    </w:p>
    <w:p w14:paraId="57195457">
      <w:pPr>
        <w:keepNext w:val="0"/>
        <w:keepLines w:val="0"/>
        <w:pageBreakBefore w:val="0"/>
        <w:widowControl w:val="0"/>
        <w:numPr>
          <w:ilvl w:val="0"/>
          <w:numId w:val="0"/>
        </w:numPr>
        <w:kinsoku/>
        <w:wordWrap/>
        <w:overflowPunct/>
        <w:topLinePunct w:val="0"/>
        <w:autoSpaceDE/>
        <w:autoSpaceDN/>
        <w:bidi w:val="0"/>
        <w:adjustRightInd/>
        <w:snapToGrid w:val="0"/>
        <w:spacing w:after="0" w:line="500" w:lineRule="exact"/>
        <w:ind w:firstLine="56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2"/>
          <w:sz w:val="28"/>
          <w:szCs w:val="28"/>
          <w:highlight w:val="none"/>
          <w:lang w:val="en-US" w:eastAsia="zh-CN" w:bidi="ar-SA"/>
        </w:rPr>
        <w:t>通过本次招标确定一家具备资质的公司负责湾沚区总医院24台电梯</w:t>
      </w:r>
      <w:r>
        <w:rPr>
          <w:rFonts w:hint="eastAsia" w:ascii="仿宋" w:hAnsi="仿宋" w:eastAsia="仿宋" w:cs="仿宋"/>
          <w:color w:val="0000FF"/>
          <w:kern w:val="2"/>
          <w:sz w:val="28"/>
          <w:szCs w:val="28"/>
          <w:highlight w:val="none"/>
          <w:lang w:val="en-US" w:eastAsia="zh-CN" w:bidi="ar-SA"/>
        </w:rPr>
        <w:t>(详见电梯登记表)</w:t>
      </w:r>
      <w:r>
        <w:rPr>
          <w:rFonts w:hint="eastAsia" w:ascii="仿宋" w:hAnsi="仿宋" w:eastAsia="仿宋" w:cs="仿宋"/>
          <w:kern w:val="2"/>
          <w:sz w:val="28"/>
          <w:szCs w:val="28"/>
          <w:highlight w:val="none"/>
          <w:lang w:val="en-US" w:eastAsia="zh-CN" w:bidi="ar-SA"/>
        </w:rPr>
        <w:t>的维保服务。本项目维保服务自合同签订之日起，现有各电梯维保结束后，逐步移交中标单位统一维保。</w:t>
      </w:r>
    </w:p>
    <w:p w14:paraId="73F87042">
      <w:pPr>
        <w:pStyle w:val="10"/>
        <w:rPr>
          <w:rFonts w:hint="eastAsia"/>
          <w:color w:val="0000FF"/>
          <w:highlight w:val="none"/>
          <w:lang w:val="en-US" w:eastAsia="zh-CN"/>
        </w:rPr>
      </w:pPr>
      <w:r>
        <w:rPr>
          <w:rFonts w:hint="eastAsia" w:ascii="仿宋" w:hAnsi="仿宋" w:eastAsia="仿宋" w:cs="仿宋"/>
          <w:color w:val="0000FF"/>
          <w:kern w:val="2"/>
          <w:sz w:val="28"/>
          <w:szCs w:val="28"/>
          <w:highlight w:val="none"/>
          <w:lang w:val="en-US" w:eastAsia="zh-CN" w:bidi="ar-SA"/>
        </w:rPr>
        <w:t>电梯登记表：</w:t>
      </w:r>
    </w:p>
    <w:tbl>
      <w:tblPr>
        <w:tblStyle w:val="23"/>
        <w:tblpPr w:leftFromText="180" w:rightFromText="180" w:vertAnchor="text" w:horzAnchor="page" w:tblpX="1664" w:tblpY="660"/>
        <w:tblOverlap w:val="never"/>
        <w:tblW w:w="9145" w:type="dxa"/>
        <w:tblInd w:w="0" w:type="dxa"/>
        <w:tblLayout w:type="fixed"/>
        <w:tblCellMar>
          <w:top w:w="0" w:type="dxa"/>
          <w:left w:w="108" w:type="dxa"/>
          <w:bottom w:w="0" w:type="dxa"/>
          <w:right w:w="108" w:type="dxa"/>
        </w:tblCellMar>
      </w:tblPr>
      <w:tblGrid>
        <w:gridCol w:w="735"/>
        <w:gridCol w:w="1485"/>
        <w:gridCol w:w="660"/>
        <w:gridCol w:w="1290"/>
        <w:gridCol w:w="1215"/>
        <w:gridCol w:w="1155"/>
        <w:gridCol w:w="690"/>
        <w:gridCol w:w="1915"/>
      </w:tblGrid>
      <w:tr w14:paraId="7CE2C1F4">
        <w:tblPrEx>
          <w:tblCellMar>
            <w:top w:w="0" w:type="dxa"/>
            <w:left w:w="108" w:type="dxa"/>
            <w:bottom w:w="0" w:type="dxa"/>
            <w:right w:w="108" w:type="dxa"/>
          </w:tblCellMar>
        </w:tblPrEx>
        <w:trPr>
          <w:trHeight w:val="623" w:hRule="atLeast"/>
        </w:trPr>
        <w:tc>
          <w:tcPr>
            <w:tcW w:w="735" w:type="dxa"/>
            <w:tcBorders>
              <w:top w:val="single" w:color="000000" w:sz="4" w:space="0"/>
              <w:left w:val="single" w:color="000000" w:sz="4" w:space="0"/>
              <w:bottom w:val="single" w:color="000000" w:sz="4" w:space="0"/>
              <w:right w:val="single" w:color="000000" w:sz="4" w:space="0"/>
            </w:tcBorders>
            <w:noWrap/>
            <w:vAlign w:val="center"/>
          </w:tcPr>
          <w:p w14:paraId="195BB8A4">
            <w:pPr>
              <w:keepNext w:val="0"/>
              <w:keepLines w:val="0"/>
              <w:pageBreakBefore w:val="0"/>
              <w:widowControl/>
              <w:kinsoku/>
              <w:wordWrap/>
              <w:overflowPunct/>
              <w:topLinePunct w:val="0"/>
              <w:autoSpaceDE/>
              <w:autoSpaceDN/>
              <w:bidi w:val="0"/>
              <w:snapToGrid w:val="0"/>
              <w:spacing w:after="0"/>
              <w:jc w:val="center"/>
              <w:textAlignment w:val="center"/>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kern w:val="0"/>
                <w:sz w:val="21"/>
                <w:szCs w:val="21"/>
                <w:highlight w:val="none"/>
                <w:lang w:val="en-US" w:eastAsia="zh-CN" w:bidi="ar"/>
              </w:rPr>
              <w:t>序号</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123A83E">
            <w:pPr>
              <w:keepNext w:val="0"/>
              <w:keepLines w:val="0"/>
              <w:pageBreakBefore w:val="0"/>
              <w:widowControl/>
              <w:kinsoku/>
              <w:wordWrap/>
              <w:overflowPunct/>
              <w:topLinePunct w:val="0"/>
              <w:autoSpaceDE/>
              <w:autoSpaceDN/>
              <w:bidi w:val="0"/>
              <w:snapToGrid w:val="0"/>
              <w:spacing w:after="0"/>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设备名称</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67174049">
            <w:pPr>
              <w:keepNext w:val="0"/>
              <w:keepLines w:val="0"/>
              <w:pageBreakBefore w:val="0"/>
              <w:widowControl/>
              <w:kinsoku/>
              <w:wordWrap/>
              <w:overflowPunct/>
              <w:topLinePunct w:val="0"/>
              <w:autoSpaceDE/>
              <w:autoSpaceDN/>
              <w:bidi w:val="0"/>
              <w:snapToGrid w:val="0"/>
              <w:spacing w:after="0"/>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梯型</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664F37C3">
            <w:pPr>
              <w:keepNext w:val="0"/>
              <w:keepLines w:val="0"/>
              <w:pageBreakBefore w:val="0"/>
              <w:widowControl/>
              <w:kinsoku/>
              <w:wordWrap/>
              <w:overflowPunct/>
              <w:topLinePunct w:val="0"/>
              <w:autoSpaceDE/>
              <w:autoSpaceDN/>
              <w:bidi w:val="0"/>
              <w:snapToGrid w:val="0"/>
              <w:spacing w:after="0"/>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设备型号</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461C5A64">
            <w:pPr>
              <w:keepNext w:val="0"/>
              <w:keepLines w:val="0"/>
              <w:pageBreakBefore w:val="0"/>
              <w:widowControl/>
              <w:kinsoku/>
              <w:wordWrap/>
              <w:overflowPunct/>
              <w:topLinePunct w:val="0"/>
              <w:autoSpaceDE/>
              <w:autoSpaceDN/>
              <w:bidi w:val="0"/>
              <w:snapToGrid w:val="0"/>
              <w:spacing w:after="0"/>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使用地点</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25A0319C">
            <w:pPr>
              <w:keepNext w:val="0"/>
              <w:keepLines w:val="0"/>
              <w:pageBreakBefore w:val="0"/>
              <w:widowControl/>
              <w:kinsoku/>
              <w:wordWrap/>
              <w:overflowPunct/>
              <w:topLinePunct w:val="0"/>
              <w:autoSpaceDE/>
              <w:autoSpaceDN/>
              <w:bidi w:val="0"/>
              <w:snapToGrid w:val="0"/>
              <w:spacing w:after="0"/>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电梯层站</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70786CA">
            <w:pPr>
              <w:keepNext w:val="0"/>
              <w:keepLines w:val="0"/>
              <w:pageBreakBefore w:val="0"/>
              <w:widowControl/>
              <w:kinsoku/>
              <w:wordWrap/>
              <w:overflowPunct/>
              <w:topLinePunct w:val="0"/>
              <w:autoSpaceDE/>
              <w:autoSpaceDN/>
              <w:bidi w:val="0"/>
              <w:snapToGrid w:val="0"/>
              <w:spacing w:after="0"/>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台量</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38557A4">
            <w:pPr>
              <w:keepNext w:val="0"/>
              <w:keepLines w:val="0"/>
              <w:pageBreakBefore w:val="0"/>
              <w:widowControl/>
              <w:kinsoku/>
              <w:wordWrap/>
              <w:overflowPunct/>
              <w:topLinePunct w:val="0"/>
              <w:autoSpaceDE/>
              <w:autoSpaceDN/>
              <w:bidi w:val="0"/>
              <w:snapToGrid w:val="0"/>
              <w:spacing w:after="0"/>
              <w:jc w:val="center"/>
              <w:textAlignment w:val="center"/>
              <w:rPr>
                <w:rFonts w:hint="eastAsia" w:ascii="宋体" w:hAnsi="宋体" w:eastAsia="宋体" w:cs="宋体"/>
                <w:b/>
                <w:bCs/>
                <w:color w:val="000000"/>
                <w:sz w:val="21"/>
                <w:szCs w:val="21"/>
                <w:highlight w:val="none"/>
                <w:lang w:eastAsia="zh-CN"/>
              </w:rPr>
            </w:pPr>
            <w:r>
              <w:rPr>
                <w:rFonts w:hint="eastAsia" w:ascii="宋体" w:hAnsi="宋体" w:cs="宋体"/>
                <w:b/>
                <w:bCs/>
                <w:color w:val="000000"/>
                <w:sz w:val="21"/>
                <w:szCs w:val="21"/>
                <w:highlight w:val="none"/>
                <w:lang w:eastAsia="zh-CN"/>
              </w:rPr>
              <w:t>原维保到期时间</w:t>
            </w:r>
          </w:p>
        </w:tc>
      </w:tr>
      <w:tr w14:paraId="5ECD79F6">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BE5D0">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1</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82C16E1">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蒂升电梯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40D5FF9">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34F2D9B3">
            <w:pPr>
              <w:widowControl/>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meta200MR</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0603EDE4">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门诊楼1</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511B70F0">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6/6</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4428609">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23860FE">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w:t>
            </w:r>
            <w:r>
              <w:rPr>
                <w:rFonts w:hint="eastAsia" w:ascii="宋体" w:hAnsi="宋体" w:cs="宋体"/>
                <w:sz w:val="21"/>
                <w:szCs w:val="21"/>
                <w:highlight w:val="none"/>
                <w:lang w:val="en-US" w:eastAsia="zh-CN"/>
              </w:rPr>
              <w:t>11</w:t>
            </w:r>
            <w:r>
              <w:rPr>
                <w:rFonts w:hint="eastAsia" w:ascii="宋体" w:hAnsi="宋体" w:eastAsia="宋体" w:cs="宋体"/>
                <w:sz w:val="21"/>
                <w:szCs w:val="21"/>
                <w:highlight w:val="none"/>
                <w:lang w:val="en-US" w:eastAsia="zh-CN"/>
              </w:rPr>
              <w:t>月</w:t>
            </w:r>
            <w:r>
              <w:rPr>
                <w:rFonts w:hint="eastAsia" w:ascii="宋体" w:hAnsi="宋体" w:cs="宋体"/>
                <w:sz w:val="21"/>
                <w:szCs w:val="21"/>
                <w:highlight w:val="none"/>
                <w:lang w:val="en-US" w:eastAsia="zh-CN"/>
              </w:rPr>
              <w:t>30</w:t>
            </w:r>
            <w:r>
              <w:rPr>
                <w:rFonts w:hint="eastAsia" w:ascii="宋体" w:hAnsi="宋体" w:eastAsia="宋体" w:cs="宋体"/>
                <w:sz w:val="21"/>
                <w:szCs w:val="21"/>
                <w:highlight w:val="none"/>
                <w:lang w:val="en-US" w:eastAsia="zh-CN"/>
              </w:rPr>
              <w:t>日</w:t>
            </w:r>
          </w:p>
        </w:tc>
      </w:tr>
      <w:tr w14:paraId="0CC8E72A">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FEAD8">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2</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8E26E01">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恒达富士电梯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2391306">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9A70D9A">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FHNP60</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798EFFC2">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门诊楼2</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4B013375">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5/5</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1036E1C8">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03271435">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76D33A65">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F1F91">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3</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A8B434A">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梅轮电梯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1FB0CCFC">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7552BA3">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FSLB</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5A23EEC6">
            <w:pPr>
              <w:widowControl/>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妇计楼</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4162F944">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46059BC">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52644C54">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44273CDE">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4BB9">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4</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F143B77">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梅轮电梯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C7F0F89">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F852D44">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FSLB</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68D7784A">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妇计楼</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0A54698A">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4/4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0C56966A">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2225F05E">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7BB72704">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2228">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5</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A8CE533">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梅轮电梯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80A8E06">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3BF9FF1">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FSLB</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0D2429EE">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妇计楼</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48AD2D23">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4/4</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02FA9CCE">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62D740F0">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3D1BD1C6">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3327">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6</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3C745C3">
            <w:pPr>
              <w:widowControl/>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辉奥电梯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2EDF7BB">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eastAsia="zh-CN" w:bidi="ar"/>
              </w:rPr>
              <w:t>杂物</w:t>
            </w:r>
            <w:r>
              <w:rPr>
                <w:rFonts w:hint="eastAsia" w:ascii="宋体" w:hAnsi="宋体" w:eastAsia="宋体" w:cs="宋体"/>
                <w:color w:val="000000"/>
                <w:kern w:val="0"/>
                <w:sz w:val="21"/>
                <w:szCs w:val="21"/>
                <w:highlight w:val="none"/>
                <w:lang w:bidi="ar"/>
              </w:rPr>
              <w:t>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570C143E">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TWG200/0.4-AS</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1B32F09D">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妇计楼</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7DEB741B">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4/3</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8AD555B">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A827C14">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56C6C33A">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ABE8">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7</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5B9CFED">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迅达电梯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1E582EEA">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43BF311E">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300C MMR</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263FF7A1">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外科楼1#</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7985DF11">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3624792">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397A72B">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603D5FD5">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5EC28">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8</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C5DE8E1">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恒达富士电梯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0045241A">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5CEEA716">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FHSB50</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2A005EE5">
            <w:pPr>
              <w:widowControl/>
              <w:jc w:val="center"/>
              <w:textAlignment w:val="center"/>
              <w:rPr>
                <w:rFonts w:hint="default" w:ascii="宋体" w:hAnsi="宋体" w:eastAsia="宋体" w:cs="宋体"/>
                <w:color w:val="000000"/>
                <w:sz w:val="21"/>
                <w:szCs w:val="21"/>
                <w:highlight w:val="none"/>
                <w:lang w:val="en-US"/>
              </w:rPr>
            </w:pPr>
            <w:r>
              <w:rPr>
                <w:rFonts w:hint="eastAsia" w:ascii="宋体" w:hAnsi="宋体" w:eastAsia="宋体" w:cs="宋体"/>
                <w:color w:val="000000"/>
                <w:sz w:val="21"/>
                <w:szCs w:val="21"/>
                <w:highlight w:val="none"/>
                <w:lang w:val="en-US" w:eastAsia="zh-CN"/>
              </w:rPr>
              <w:t>外科楼2#</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7ECA7A8C">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4C56376">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6B0F308">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157EFC9C">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7D2C">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9</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CA65EAB">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恒达富士电梯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3F5E69B">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11AA7B19">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FHSB50</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19695A7B">
            <w:pPr>
              <w:widowControl/>
              <w:jc w:val="center"/>
              <w:textAlignment w:val="center"/>
              <w:rPr>
                <w:rFonts w:hint="default" w:ascii="宋体" w:hAnsi="宋体" w:eastAsia="宋体" w:cs="宋体"/>
                <w:color w:val="000000"/>
                <w:sz w:val="21"/>
                <w:szCs w:val="21"/>
                <w:highlight w:val="none"/>
                <w:lang w:val="en-US"/>
              </w:rPr>
            </w:pPr>
            <w:r>
              <w:rPr>
                <w:rFonts w:hint="eastAsia" w:ascii="宋体" w:hAnsi="宋体" w:eastAsia="宋体" w:cs="宋体"/>
                <w:color w:val="000000"/>
                <w:sz w:val="21"/>
                <w:szCs w:val="21"/>
                <w:highlight w:val="none"/>
                <w:lang w:val="en-US" w:eastAsia="zh-CN"/>
              </w:rPr>
              <w:t>外科楼3#</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E209AE4">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13/13</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E2E11C3">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A0228FC">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67046480">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BCCB">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10</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60C6519">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恒达富士电梯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06AA26AF">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4A5603C6">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FHSP50</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091603EC">
            <w:pPr>
              <w:widowControl/>
              <w:jc w:val="center"/>
              <w:textAlignment w:val="center"/>
              <w:rPr>
                <w:rFonts w:hint="default" w:ascii="宋体" w:hAnsi="宋体" w:eastAsia="宋体" w:cs="宋体"/>
                <w:color w:val="000000"/>
                <w:sz w:val="21"/>
                <w:szCs w:val="21"/>
                <w:highlight w:val="none"/>
                <w:lang w:val="en-US"/>
              </w:rPr>
            </w:pPr>
            <w:r>
              <w:rPr>
                <w:rFonts w:hint="eastAsia" w:ascii="宋体" w:hAnsi="宋体" w:eastAsia="宋体" w:cs="宋体"/>
                <w:color w:val="000000"/>
                <w:sz w:val="21"/>
                <w:szCs w:val="21"/>
                <w:highlight w:val="none"/>
                <w:lang w:val="en-US" w:eastAsia="zh-CN"/>
              </w:rPr>
              <w:t>外科楼4#</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2772B86">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3F6646B">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079C648E">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326858CA">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55F3">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11</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3BCFF82">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恒达富士电梯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176F415">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2461DC02">
            <w:pPr>
              <w:widowControl/>
              <w:jc w:val="center"/>
              <w:textAlignment w:val="center"/>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FHSP50</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4975BFE6">
            <w:pPr>
              <w:widowControl/>
              <w:jc w:val="center"/>
              <w:textAlignment w:val="bottom"/>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外科楼5#</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22F470A">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13/13</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C6563DA">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AEFD4F3">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264FE68A">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03B1B">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12</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D865847">
            <w:pPr>
              <w:widowControl/>
              <w:jc w:val="center"/>
              <w:textAlignment w:val="center"/>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迅达电梯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28C72F4">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63DCC8F3">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3300AP MMR</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767204C2">
            <w:pPr>
              <w:widowControl/>
              <w:jc w:val="center"/>
              <w:textAlignment w:val="bottom"/>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外科楼7#</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06FB792D">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0FA8A8BA">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587BADB7">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1ED52502">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360F">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13</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75C1577">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迅达电梯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54B829B">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5BD0CEB2">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3300AP MMR</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313102F4">
            <w:pPr>
              <w:widowControl/>
              <w:jc w:val="center"/>
              <w:textAlignment w:val="bottom"/>
              <w:rPr>
                <w:rFonts w:hint="default" w:ascii="宋体" w:hAnsi="宋体" w:eastAsia="宋体" w:cs="宋体"/>
                <w:sz w:val="21"/>
                <w:szCs w:val="21"/>
                <w:highlight w:val="none"/>
                <w:lang w:val="en-US"/>
              </w:rPr>
            </w:pPr>
            <w:r>
              <w:rPr>
                <w:rFonts w:hint="eastAsia" w:ascii="宋体" w:hAnsi="宋体" w:eastAsia="宋体" w:cs="宋体"/>
                <w:color w:val="000000"/>
                <w:sz w:val="21"/>
                <w:szCs w:val="21"/>
                <w:highlight w:val="none"/>
                <w:lang w:val="en-US" w:eastAsia="zh-CN"/>
              </w:rPr>
              <w:t>外科楼8#</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6C823EDF">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760804B5">
            <w:pPr>
              <w:widowControl/>
              <w:jc w:val="center"/>
              <w:textAlignment w:val="center"/>
              <w:rPr>
                <w:rFonts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064A3460">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58414AF5">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D6B7">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14</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3C20C71">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恒达富士电梯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6E396C8D">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41EBC9FD">
            <w:pPr>
              <w:widowControl/>
              <w:jc w:val="center"/>
              <w:textAlignment w:val="center"/>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FHSB50</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3D376F13">
            <w:pPr>
              <w:widowControl/>
              <w:jc w:val="center"/>
              <w:textAlignment w:val="bottom"/>
              <w:rPr>
                <w:rFonts w:hint="default" w:ascii="宋体" w:hAnsi="宋体" w:eastAsia="宋体" w:cs="宋体"/>
                <w:sz w:val="21"/>
                <w:szCs w:val="21"/>
                <w:highlight w:val="none"/>
                <w:lang w:val="en-US"/>
              </w:rPr>
            </w:pPr>
            <w:r>
              <w:rPr>
                <w:rFonts w:hint="eastAsia" w:ascii="宋体" w:hAnsi="宋体" w:eastAsia="宋体" w:cs="宋体"/>
                <w:color w:val="000000"/>
                <w:sz w:val="21"/>
                <w:szCs w:val="21"/>
                <w:highlight w:val="none"/>
                <w:lang w:val="en-US" w:eastAsia="zh-CN"/>
              </w:rPr>
              <w:t>外科楼9#</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32EB7767">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13/13</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2F69EA30">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7D7AF8C">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5C566C80">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1ADF8">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15</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56B1530">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迅达电梯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0380D8DB">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E4F9611">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5400AP MMR</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5C34C398">
            <w:pPr>
              <w:widowControl/>
              <w:jc w:val="center"/>
              <w:textAlignment w:val="bottom"/>
              <w:rPr>
                <w:rFonts w:hint="default" w:ascii="宋体" w:hAnsi="宋体" w:eastAsia="宋体" w:cs="宋体"/>
                <w:sz w:val="21"/>
                <w:szCs w:val="21"/>
                <w:highlight w:val="none"/>
                <w:lang w:val="en-US"/>
              </w:rPr>
            </w:pPr>
            <w:r>
              <w:rPr>
                <w:rFonts w:hint="eastAsia" w:ascii="宋体" w:hAnsi="宋体" w:eastAsia="宋体" w:cs="宋体"/>
                <w:color w:val="000000"/>
                <w:sz w:val="21"/>
                <w:szCs w:val="21"/>
                <w:highlight w:val="none"/>
                <w:lang w:val="en-US" w:eastAsia="zh-CN"/>
              </w:rPr>
              <w:t>外科楼10#</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FC6362A">
            <w:pPr>
              <w:widowControl/>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E987046">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A976E4B">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78A2FABE">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AB68">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16</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E2C31BE">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1E8F87F6">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20717263">
            <w:pPr>
              <w:widowControl/>
              <w:jc w:val="center"/>
              <w:rPr>
                <w:rFonts w:hint="eastAsia" w:ascii="Arial" w:hAnsi="Arial" w:eastAsia="等线" w:cs="Arial"/>
                <w:kern w:val="0"/>
                <w:sz w:val="20"/>
                <w:highlight w:val="none"/>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5D64F11D">
            <w:pPr>
              <w:widowControl/>
              <w:jc w:val="center"/>
              <w:textAlignment w:val="bottom"/>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内科楼1#</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4C230085">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ascii="宋体" w:hAnsi="宋体" w:eastAsia="宋体" w:cs="宋体"/>
                <w:sz w:val="21"/>
                <w:szCs w:val="21"/>
                <w:highlight w:val="none"/>
              </w:rPr>
              <w:t>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19DEFFAC">
            <w:pPr>
              <w:widowControl/>
              <w:jc w:val="center"/>
              <w:textAlignment w:val="center"/>
              <w:rPr>
                <w:rFonts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0EB2157">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04C59EAE">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D4DB">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17</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3424D0F">
            <w:pPr>
              <w:widowControl/>
              <w:jc w:val="center"/>
              <w:textAlignment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C020A7B">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3B859735">
            <w:pPr>
              <w:widowControl/>
              <w:jc w:val="center"/>
              <w:textAlignment w:val="center"/>
              <w:rPr>
                <w:rFonts w:hint="eastAsia" w:ascii="宋体" w:hAnsi="宋体" w:eastAsia="宋体" w:cs="宋体"/>
                <w:sz w:val="21"/>
                <w:szCs w:val="21"/>
                <w:highlight w:val="none"/>
                <w:lang w:val="en-US" w:eastAsia="zh-CN" w:bidi="ar-SA"/>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79C8F1C8">
            <w:pPr>
              <w:widowControl/>
              <w:jc w:val="center"/>
              <w:textAlignment w:val="bottom"/>
              <w:rPr>
                <w:rFonts w:hint="eastAsia" w:ascii="宋体" w:hAnsi="宋体" w:eastAsia="宋体" w:cs="宋体"/>
                <w:sz w:val="21"/>
                <w:szCs w:val="21"/>
                <w:highlight w:val="none"/>
                <w:lang w:val="en-US" w:eastAsia="zh-CN" w:bidi="ar-SA"/>
              </w:rPr>
            </w:pPr>
            <w:r>
              <w:rPr>
                <w:rFonts w:hint="eastAsia" w:ascii="宋体" w:hAnsi="宋体" w:eastAsia="宋体" w:cs="宋体"/>
                <w:color w:val="000000"/>
                <w:sz w:val="21"/>
                <w:szCs w:val="21"/>
                <w:highlight w:val="none"/>
                <w:lang w:val="en-US" w:eastAsia="zh-CN"/>
              </w:rPr>
              <w:t>内科楼</w:t>
            </w:r>
            <w:r>
              <w:rPr>
                <w:rFonts w:hint="eastAsia" w:ascii="宋体" w:hAnsi="宋体" w:eastAsia="宋体" w:cs="宋体"/>
                <w:sz w:val="21"/>
                <w:szCs w:val="21"/>
                <w:highlight w:val="none"/>
                <w:lang w:val="en-US" w:eastAsia="zh-CN"/>
              </w:rPr>
              <w:t>2#</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6ED1D287">
            <w:pPr>
              <w:widowControl/>
              <w:jc w:val="center"/>
              <w:textAlignment w:val="center"/>
              <w:rPr>
                <w:rFonts w:hint="eastAsia" w:ascii="宋体" w:hAnsi="宋体" w:eastAsia="宋体" w:cs="宋体"/>
                <w:sz w:val="21"/>
                <w:szCs w:val="21"/>
                <w:highlight w:val="none"/>
                <w:lang w:val="en-US" w:eastAsia="zh-CN" w:bidi="ar-SA"/>
              </w:rPr>
            </w:pPr>
            <w:r>
              <w:rPr>
                <w:rFonts w:ascii="宋体" w:hAnsi="宋体" w:eastAsia="宋体" w:cs="宋体"/>
                <w:sz w:val="21"/>
                <w:szCs w:val="21"/>
                <w:highlight w:val="none"/>
              </w:rPr>
              <w:t>10/10</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27264D4">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C5CEFD1">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416E7D26">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80189">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18</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2ACC0FA">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07D7896C">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C563AA4">
            <w:pPr>
              <w:widowControl/>
              <w:jc w:val="center"/>
              <w:textAlignment w:val="center"/>
              <w:rPr>
                <w:rFonts w:hint="eastAsia" w:ascii="宋体" w:hAnsi="宋体" w:eastAsia="宋体" w:cs="宋体"/>
                <w:sz w:val="21"/>
                <w:szCs w:val="21"/>
                <w:highlight w:val="none"/>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38699C4E">
            <w:pPr>
              <w:widowControl/>
              <w:jc w:val="center"/>
              <w:textAlignment w:val="bottom"/>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内科楼</w:t>
            </w:r>
            <w:r>
              <w:rPr>
                <w:rFonts w:hint="eastAsia" w:ascii="宋体" w:hAnsi="宋体" w:eastAsia="宋体" w:cs="宋体"/>
                <w:sz w:val="21"/>
                <w:szCs w:val="21"/>
                <w:highlight w:val="none"/>
                <w:lang w:val="en-US" w:eastAsia="zh-CN"/>
              </w:rPr>
              <w:t>3#</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5D697AEB">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ascii="宋体" w:hAnsi="宋体" w:eastAsia="宋体" w:cs="宋体"/>
                <w:sz w:val="21"/>
                <w:szCs w:val="21"/>
                <w:highlight w:val="none"/>
              </w:rPr>
              <w:t>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6A2226C">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5AD1A2B5">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0CA9A780">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5BAC">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19</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8E74097">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3547CD71">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7FD75AA1">
            <w:pPr>
              <w:widowControl/>
              <w:jc w:val="center"/>
              <w:textAlignment w:val="center"/>
              <w:rPr>
                <w:rFonts w:hint="eastAsia" w:ascii="宋体" w:hAnsi="宋体" w:eastAsia="宋体" w:cs="宋体"/>
                <w:sz w:val="21"/>
                <w:szCs w:val="21"/>
                <w:highlight w:val="none"/>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77A153CD">
            <w:pPr>
              <w:widowControl/>
              <w:jc w:val="center"/>
              <w:textAlignment w:val="bottom"/>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内科楼</w:t>
            </w:r>
            <w:r>
              <w:rPr>
                <w:rFonts w:hint="eastAsia" w:ascii="宋体" w:hAnsi="宋体" w:eastAsia="宋体" w:cs="宋体"/>
                <w:sz w:val="21"/>
                <w:szCs w:val="21"/>
                <w:highlight w:val="none"/>
                <w:lang w:val="en-US" w:eastAsia="zh-CN"/>
              </w:rPr>
              <w:t>4#</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3BA4712B">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ascii="宋体" w:hAnsi="宋体" w:eastAsia="宋体" w:cs="宋体"/>
                <w:sz w:val="21"/>
                <w:szCs w:val="21"/>
                <w:highlight w:val="none"/>
              </w:rPr>
              <w:t>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5BC657B">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4519936">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3294E114">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67DA9">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20</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2EBC500">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5F4702D">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44A882D">
            <w:pPr>
              <w:widowControl/>
              <w:jc w:val="center"/>
              <w:textAlignment w:val="center"/>
              <w:rPr>
                <w:rFonts w:hint="eastAsia" w:ascii="宋体" w:hAnsi="宋体" w:eastAsia="宋体" w:cs="宋体"/>
                <w:sz w:val="21"/>
                <w:szCs w:val="21"/>
                <w:highlight w:val="none"/>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359825F7">
            <w:pPr>
              <w:widowControl/>
              <w:jc w:val="center"/>
              <w:textAlignment w:val="bottom"/>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内科楼</w:t>
            </w:r>
            <w:r>
              <w:rPr>
                <w:rFonts w:hint="eastAsia" w:ascii="宋体" w:hAnsi="宋体" w:eastAsia="宋体" w:cs="宋体"/>
                <w:sz w:val="21"/>
                <w:szCs w:val="21"/>
                <w:highlight w:val="none"/>
                <w:lang w:val="en-US" w:eastAsia="zh-CN"/>
              </w:rPr>
              <w:t>5#</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73F08B81">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ascii="宋体" w:hAnsi="宋体" w:eastAsia="宋体" w:cs="宋体"/>
                <w:sz w:val="21"/>
                <w:szCs w:val="21"/>
                <w:highlight w:val="none"/>
              </w:rPr>
              <w:t>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D68CA74">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F4CD774">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5E987ACE">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4729">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21</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5611085">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099DF802">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9F4C75C">
            <w:pPr>
              <w:widowControl/>
              <w:jc w:val="center"/>
              <w:textAlignment w:val="center"/>
              <w:rPr>
                <w:rFonts w:hint="eastAsia" w:ascii="宋体" w:hAnsi="宋体" w:eastAsia="宋体" w:cs="宋体"/>
                <w:sz w:val="21"/>
                <w:szCs w:val="21"/>
                <w:highlight w:val="none"/>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537FE878">
            <w:pPr>
              <w:widowControl/>
              <w:jc w:val="center"/>
              <w:textAlignment w:val="bottom"/>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内科楼</w:t>
            </w:r>
            <w:r>
              <w:rPr>
                <w:rFonts w:hint="eastAsia" w:ascii="宋体" w:hAnsi="宋体" w:eastAsia="宋体" w:cs="宋体"/>
                <w:sz w:val="21"/>
                <w:szCs w:val="21"/>
                <w:highlight w:val="none"/>
                <w:lang w:val="en-US" w:eastAsia="zh-CN"/>
              </w:rPr>
              <w:t>6#</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A1A743D">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ascii="宋体" w:hAnsi="宋体" w:eastAsia="宋体" w:cs="宋体"/>
                <w:sz w:val="21"/>
                <w:szCs w:val="21"/>
                <w:highlight w:val="none"/>
              </w:rPr>
              <w:t>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31BAC5E">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C88CAB0">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11D7B77D">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C5985">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22</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3AA9EF69">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9CECDBF">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61098ED6">
            <w:pPr>
              <w:widowControl/>
              <w:jc w:val="center"/>
              <w:textAlignment w:val="center"/>
              <w:rPr>
                <w:rFonts w:hint="eastAsia" w:ascii="宋体" w:hAnsi="宋体" w:eastAsia="宋体" w:cs="宋体"/>
                <w:sz w:val="21"/>
                <w:szCs w:val="21"/>
                <w:highlight w:val="none"/>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51D3D099">
            <w:pPr>
              <w:widowControl/>
              <w:jc w:val="center"/>
              <w:textAlignment w:val="bottom"/>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内科楼</w:t>
            </w:r>
            <w:r>
              <w:rPr>
                <w:rFonts w:hint="eastAsia" w:ascii="宋体" w:hAnsi="宋体" w:eastAsia="宋体" w:cs="宋体"/>
                <w:sz w:val="21"/>
                <w:szCs w:val="21"/>
                <w:highlight w:val="none"/>
                <w:lang w:val="en-US" w:eastAsia="zh-CN"/>
              </w:rPr>
              <w:t>7#</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2BB43129">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ascii="宋体" w:hAnsi="宋体" w:eastAsia="宋体" w:cs="宋体"/>
                <w:sz w:val="21"/>
                <w:szCs w:val="21"/>
                <w:highlight w:val="none"/>
              </w:rPr>
              <w:t>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1C3BEE49">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62BFCA4F">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3044F4EC">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69BE">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23</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4975698">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70B7663B">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7052AEC6">
            <w:pPr>
              <w:widowControl/>
              <w:jc w:val="center"/>
              <w:textAlignment w:val="center"/>
              <w:rPr>
                <w:rFonts w:hint="eastAsia" w:ascii="宋体" w:hAnsi="宋体" w:eastAsia="宋体" w:cs="宋体"/>
                <w:sz w:val="21"/>
                <w:szCs w:val="21"/>
                <w:highlight w:val="none"/>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4400EA4D">
            <w:pPr>
              <w:widowControl/>
              <w:jc w:val="center"/>
              <w:textAlignment w:val="bottom"/>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内科楼</w:t>
            </w:r>
            <w:r>
              <w:rPr>
                <w:rFonts w:hint="eastAsia" w:ascii="宋体" w:hAnsi="宋体" w:eastAsia="宋体" w:cs="宋体"/>
                <w:sz w:val="21"/>
                <w:szCs w:val="21"/>
                <w:highlight w:val="none"/>
                <w:lang w:val="en-US" w:eastAsia="zh-CN"/>
              </w:rPr>
              <w:t>8#</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B5CCCC4">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ascii="宋体" w:hAnsi="宋体" w:eastAsia="宋体" w:cs="宋体"/>
                <w:sz w:val="21"/>
                <w:szCs w:val="21"/>
                <w:highlight w:val="none"/>
              </w:rPr>
              <w:t>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A6B04E4">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5D723521">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r w14:paraId="56137EE4">
        <w:tblPrEx>
          <w:tblCellMar>
            <w:top w:w="0" w:type="dxa"/>
            <w:left w:w="108" w:type="dxa"/>
            <w:bottom w:w="0" w:type="dxa"/>
            <w:right w:w="108" w:type="dxa"/>
          </w:tblCellMar>
        </w:tblPrEx>
        <w:trPr>
          <w:trHeight w:val="607" w:hRule="atLeast"/>
        </w:trPr>
        <w:tc>
          <w:tcPr>
            <w:tcW w:w="735" w:type="dxa"/>
            <w:tcBorders>
              <w:top w:val="single" w:color="000000" w:sz="4" w:space="0"/>
              <w:left w:val="single" w:color="000000" w:sz="4" w:space="0"/>
              <w:bottom w:val="single" w:color="000000" w:sz="4" w:space="0"/>
              <w:right w:val="single" w:color="000000" w:sz="4" w:space="0"/>
            </w:tcBorders>
            <w:noWrap/>
            <w:vAlign w:val="center"/>
          </w:tcPr>
          <w:p w14:paraId="426DC50D">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24</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CF8FE9C">
            <w:pPr>
              <w:widowControl/>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奥的斯电梯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E7C62BC">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客梯</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68E03EAE">
            <w:pPr>
              <w:widowControl/>
              <w:jc w:val="center"/>
              <w:textAlignment w:val="center"/>
              <w:rPr>
                <w:rFonts w:hint="eastAsia" w:ascii="宋体" w:hAnsi="宋体" w:eastAsia="宋体" w:cs="宋体"/>
                <w:sz w:val="21"/>
                <w:szCs w:val="21"/>
                <w:highlight w:val="none"/>
              </w:rPr>
            </w:pPr>
            <w:r>
              <w:rPr>
                <w:rFonts w:ascii="Arial" w:hAnsi="Arial" w:eastAsia="等线" w:cs="Arial"/>
                <w:sz w:val="20"/>
                <w:highlight w:val="none"/>
              </w:rPr>
              <w:t>Regen-M</w:t>
            </w:r>
          </w:p>
        </w:tc>
        <w:tc>
          <w:tcPr>
            <w:tcW w:w="1215" w:type="dxa"/>
            <w:tcBorders>
              <w:top w:val="single" w:color="000000" w:sz="4" w:space="0"/>
              <w:left w:val="single" w:color="000000" w:sz="4" w:space="0"/>
              <w:bottom w:val="single" w:color="000000" w:sz="4" w:space="0"/>
              <w:right w:val="single" w:color="000000" w:sz="4" w:space="0"/>
            </w:tcBorders>
            <w:noWrap w:val="0"/>
            <w:vAlign w:val="bottom"/>
          </w:tcPr>
          <w:p w14:paraId="2001764F">
            <w:pPr>
              <w:widowControl/>
              <w:jc w:val="center"/>
              <w:textAlignment w:val="bottom"/>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内科楼</w:t>
            </w:r>
            <w:r>
              <w:rPr>
                <w:rFonts w:hint="eastAsia" w:ascii="宋体" w:hAnsi="宋体" w:eastAsia="宋体" w:cs="宋体"/>
                <w:sz w:val="21"/>
                <w:szCs w:val="21"/>
                <w:highlight w:val="none"/>
                <w:lang w:val="en-US" w:eastAsia="zh-CN"/>
              </w:rPr>
              <w:t>9#</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62F8D2C6">
            <w:pPr>
              <w:widowControl/>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ascii="宋体" w:hAnsi="宋体" w:eastAsia="宋体" w:cs="宋体"/>
                <w:sz w:val="21"/>
                <w:szCs w:val="21"/>
                <w:highlight w:val="none"/>
              </w:rPr>
              <w:t>2/12</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AE8F0DB">
            <w:pPr>
              <w:widowControl/>
              <w:jc w:val="center"/>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6EA5B09A">
            <w:pPr>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lang w:val="en-US" w:eastAsia="zh-CN"/>
              </w:rPr>
              <w:t>2026年12月19日</w:t>
            </w:r>
          </w:p>
        </w:tc>
      </w:tr>
    </w:tbl>
    <w:p w14:paraId="0BD72F0E">
      <w:pPr>
        <w:pStyle w:val="2"/>
        <w:numPr>
          <w:ilvl w:val="0"/>
          <w:numId w:val="0"/>
        </w:numPr>
        <w:ind w:firstLine="600" w:firstLineChars="200"/>
        <w:rPr>
          <w:rFonts w:hint="default"/>
          <w:color w:val="FF0000"/>
          <w:highlight w:val="none"/>
          <w:lang w:val="en-US" w:eastAsia="zh-CN"/>
        </w:rPr>
      </w:pPr>
      <w:r>
        <w:rPr>
          <w:rStyle w:val="77"/>
          <w:rFonts w:hint="eastAsia" w:ascii="仿宋" w:hAnsi="仿宋" w:eastAsia="仿宋" w:cs="仿宋"/>
          <w:color w:val="FF0000"/>
          <w:kern w:val="0"/>
          <w:sz w:val="30"/>
          <w:szCs w:val="30"/>
          <w:highlight w:val="none"/>
          <w:lang w:val="en-US" w:eastAsia="zh-CN" w:bidi="ar-SA"/>
        </w:rPr>
        <w:t>*</w:t>
      </w:r>
      <w:r>
        <w:rPr>
          <w:rFonts w:hint="eastAsia"/>
          <w:color w:val="FF0000"/>
          <w:highlight w:val="none"/>
          <w:lang w:val="en-US" w:eastAsia="zh-CN"/>
        </w:rPr>
        <w:t>注：以上所列电梯确保有能力保养，若因技术或能力等原因满足不了维保要求的，需要请厂家维保解决的费用由中标方负责。提供承诺函并加盖供应商公章。</w:t>
      </w:r>
    </w:p>
    <w:p w14:paraId="5FBE37D3">
      <w:pPr>
        <w:pStyle w:val="14"/>
        <w:numPr>
          <w:ilvl w:val="0"/>
          <w:numId w:val="0"/>
        </w:numPr>
        <w:snapToGrid w:val="0"/>
        <w:spacing w:line="360" w:lineRule="auto"/>
        <w:ind w:leftChars="0" w:firstLine="562" w:firstLineChars="200"/>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二、</w:t>
      </w:r>
      <w:r>
        <w:rPr>
          <w:rFonts w:hint="default" w:ascii="仿宋" w:hAnsi="仿宋" w:eastAsia="仿宋" w:cs="仿宋"/>
          <w:b/>
          <w:bCs/>
          <w:sz w:val="28"/>
          <w:szCs w:val="28"/>
          <w:highlight w:val="none"/>
          <w:lang w:val="en-US" w:eastAsia="zh-CN"/>
        </w:rPr>
        <w:t>维保服务</w:t>
      </w:r>
      <w:r>
        <w:rPr>
          <w:rFonts w:hint="eastAsia" w:ascii="仿宋" w:hAnsi="仿宋" w:eastAsia="仿宋" w:cs="仿宋"/>
          <w:b/>
          <w:bCs/>
          <w:sz w:val="28"/>
          <w:szCs w:val="28"/>
          <w:highlight w:val="none"/>
          <w:lang w:val="en-US" w:eastAsia="zh-CN"/>
        </w:rPr>
        <w:t>内容</w:t>
      </w:r>
    </w:p>
    <w:p w14:paraId="579FC754">
      <w:pPr>
        <w:pStyle w:val="14"/>
        <w:numPr>
          <w:ilvl w:val="0"/>
          <w:numId w:val="0"/>
        </w:numPr>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2"/>
          <w:sz w:val="28"/>
          <w:szCs w:val="28"/>
          <w:highlight w:val="none"/>
          <w:lang w:val="en-US" w:eastAsia="zh-CN" w:bidi="ar-SA"/>
        </w:rPr>
        <w:t>1、</w:t>
      </w:r>
      <w:r>
        <w:rPr>
          <w:rFonts w:hint="eastAsia" w:ascii="仿宋" w:hAnsi="仿宋" w:eastAsia="仿宋" w:cs="宋体"/>
          <w:color w:val="auto"/>
          <w:sz w:val="30"/>
          <w:szCs w:val="30"/>
          <w:highlight w:val="none"/>
          <w:shd w:val="clear" w:color="auto" w:fill="FFFFFF"/>
        </w:rPr>
        <w:t>负责电梯的机械部分、电气部分（含钢丝绳、电缆、开关、开关柜、轨道等）以及设备的吊点、支撑点部分钢结构的检查、保养（加油）、清扫、消缺、维修</w:t>
      </w:r>
      <w:r>
        <w:rPr>
          <w:rFonts w:hint="eastAsia" w:ascii="仿宋" w:hAnsi="仿宋" w:eastAsia="仿宋" w:cs="仿宋"/>
          <w:color w:val="auto"/>
          <w:sz w:val="28"/>
          <w:szCs w:val="28"/>
          <w:highlight w:val="none"/>
          <w:lang w:val="en-US" w:eastAsia="zh-CN"/>
        </w:rPr>
        <w:t>（不包括重大修理和改造）、更换易损件（供应商提供单价在300元及以下零部件，单台电梯年度最高1000元，超出部分由院方负责，供应商综合考虑到投标报价中，每季度提供已使用材料清单及证明材料。）、配合定期检验、参加紧急救援演练、打扫机房卫生、指导培训用户安全使用等。</w:t>
      </w:r>
      <w:r>
        <w:rPr>
          <w:rFonts w:hint="eastAsia" w:ascii="仿宋" w:hAnsi="仿宋" w:eastAsia="仿宋" w:cs="宋体"/>
          <w:color w:val="auto"/>
          <w:sz w:val="30"/>
          <w:szCs w:val="30"/>
          <w:highlight w:val="none"/>
          <w:shd w:val="clear" w:color="auto" w:fill="FFFFFF"/>
        </w:rPr>
        <w:t>保证设备始终处于良好状态，随时可用。保持设备的外观整洁，保持</w:t>
      </w:r>
      <w:r>
        <w:rPr>
          <w:rFonts w:hint="eastAsia" w:ascii="仿宋" w:hAnsi="仿宋" w:eastAsia="仿宋" w:cs="仿宋"/>
          <w:color w:val="auto"/>
          <w:sz w:val="28"/>
          <w:szCs w:val="28"/>
          <w:highlight w:val="none"/>
          <w:lang w:val="en-US" w:eastAsia="zh-CN"/>
        </w:rPr>
        <w:t>设备</w:t>
      </w:r>
      <w:r>
        <w:rPr>
          <w:rFonts w:hint="eastAsia" w:ascii="仿宋" w:hAnsi="仿宋" w:eastAsia="仿宋" w:cs="宋体"/>
          <w:color w:val="auto"/>
          <w:sz w:val="30"/>
          <w:szCs w:val="30"/>
          <w:highlight w:val="none"/>
          <w:shd w:val="clear" w:color="auto" w:fill="FFFFFF"/>
        </w:rPr>
        <w:t>的结构完整，保持设备的性能和精度。</w:t>
      </w:r>
    </w:p>
    <w:p w14:paraId="58E61D43">
      <w:pPr>
        <w:pStyle w:val="14"/>
        <w:numPr>
          <w:ilvl w:val="0"/>
          <w:numId w:val="0"/>
        </w:numPr>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2"/>
          <w:sz w:val="28"/>
          <w:szCs w:val="28"/>
          <w:highlight w:val="none"/>
          <w:lang w:val="en-US" w:eastAsia="zh-CN" w:bidi="ar-SA"/>
        </w:rPr>
        <w:t>2、</w:t>
      </w:r>
      <w:r>
        <w:rPr>
          <w:rFonts w:hint="eastAsia" w:ascii="仿宋" w:hAnsi="仿宋" w:eastAsia="仿宋" w:cs="仿宋"/>
          <w:color w:val="auto"/>
          <w:sz w:val="28"/>
          <w:szCs w:val="28"/>
          <w:highlight w:val="none"/>
          <w:lang w:val="en-US" w:eastAsia="zh-CN"/>
        </w:rPr>
        <w:t>电梯日常维护检查，包括年度检查、每月检查和工前检查：检查记录和台帐作为结算依据。</w:t>
      </w:r>
    </w:p>
    <w:p w14:paraId="5F37B9AA">
      <w:pPr>
        <w:pStyle w:val="14"/>
        <w:numPr>
          <w:ilvl w:val="0"/>
          <w:numId w:val="0"/>
        </w:numPr>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每年对在用的电梯至少进行一次全面检查。检查内容应包括：电梯正常工作时的技术性能；传动机构、制动机构、液压机构的完好情况；金属结构的变形、裂纹、腐蚀及焊接、铆接、螺栓的连接情况；钢丝绳的磨损、变形和尾端固定情况等，出具检查报告。检查内容、标准与结果参阅《起重机械自检报告书》。</w:t>
      </w:r>
    </w:p>
    <w:p w14:paraId="4B141411">
      <w:pPr>
        <w:pStyle w:val="14"/>
        <w:numPr>
          <w:ilvl w:val="0"/>
          <w:numId w:val="0"/>
        </w:numPr>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每月至少应对电梯的主要部位和润滑保养情况进行二次检查，应包括下列项目：安全装置、制动器、减速器等有无变形、磨损、裂纹、漏油、接触不良等异常情况；吊钩有无损伤；钢丝绳、滑轮组、索道、吊链等有无损伤；液压保护装置、管道连接是否正常；各限位开关、减速器的润滑情况等。</w:t>
      </w:r>
    </w:p>
    <w:p w14:paraId="499BD23C">
      <w:pPr>
        <w:pStyle w:val="14"/>
        <w:numPr>
          <w:ilvl w:val="0"/>
          <w:numId w:val="0"/>
        </w:numPr>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（3）每次作业前应按照半月保养、季度保养、半年度保养和年度保养相应的内容进行全面检查。</w:t>
      </w:r>
    </w:p>
    <w:p w14:paraId="12935E69">
      <w:pPr>
        <w:pStyle w:val="14"/>
        <w:numPr>
          <w:ilvl w:val="0"/>
          <w:numId w:val="0"/>
        </w:numPr>
        <w:snapToGrid w:val="0"/>
        <w:spacing w:line="360" w:lineRule="auto"/>
        <w:ind w:firstLine="600" w:firstLineChars="200"/>
        <w:rPr>
          <w:rFonts w:hint="default" w:ascii="仿宋" w:hAnsi="仿宋" w:eastAsia="仿宋" w:cs="仿宋"/>
          <w:color w:val="FF0000"/>
          <w:sz w:val="28"/>
          <w:szCs w:val="28"/>
          <w:highlight w:val="none"/>
          <w:lang w:val="en-US" w:eastAsia="zh-CN"/>
        </w:rPr>
      </w:pPr>
      <w:r>
        <w:rPr>
          <w:rStyle w:val="77"/>
          <w:rFonts w:hint="eastAsia" w:ascii="仿宋" w:hAnsi="仿宋" w:eastAsia="仿宋" w:cs="仿宋"/>
          <w:color w:val="FF0000"/>
          <w:kern w:val="0"/>
          <w:sz w:val="30"/>
          <w:szCs w:val="30"/>
          <w:highlight w:val="none"/>
          <w:lang w:val="en-US" w:eastAsia="zh-CN" w:bidi="ar-SA"/>
        </w:rPr>
        <w:t>*</w:t>
      </w:r>
      <w:r>
        <w:rPr>
          <w:rFonts w:hint="eastAsia" w:ascii="仿宋" w:hAnsi="仿宋" w:eastAsia="仿宋" w:cs="仿宋"/>
          <w:color w:val="FF0000"/>
          <w:kern w:val="2"/>
          <w:sz w:val="28"/>
          <w:szCs w:val="28"/>
          <w:highlight w:val="none"/>
          <w:lang w:val="en-US" w:eastAsia="zh-CN" w:bidi="ar-SA"/>
        </w:rPr>
        <w:t>3</w:t>
      </w:r>
      <w:r>
        <w:rPr>
          <w:rFonts w:hint="default" w:ascii="仿宋" w:hAnsi="仿宋" w:eastAsia="仿宋" w:cs="仿宋"/>
          <w:color w:val="FF0000"/>
          <w:kern w:val="2"/>
          <w:sz w:val="28"/>
          <w:szCs w:val="28"/>
          <w:highlight w:val="none"/>
          <w:lang w:val="en-US" w:eastAsia="zh-CN" w:bidi="ar-SA"/>
        </w:rPr>
        <w:t>、</w:t>
      </w:r>
      <w:r>
        <w:rPr>
          <w:rFonts w:hint="default" w:ascii="仿宋" w:hAnsi="仿宋" w:eastAsia="仿宋" w:cs="仿宋"/>
          <w:color w:val="FF0000"/>
          <w:sz w:val="28"/>
          <w:szCs w:val="28"/>
          <w:highlight w:val="none"/>
          <w:lang w:val="en-US" w:eastAsia="zh-CN"/>
        </w:rPr>
        <w:t>实施维护保养服务，</w:t>
      </w:r>
      <w:r>
        <w:rPr>
          <w:rFonts w:hint="eastAsia" w:ascii="仿宋" w:hAnsi="仿宋" w:eastAsia="仿宋" w:cs="仿宋"/>
          <w:color w:val="FF0000"/>
          <w:sz w:val="28"/>
          <w:szCs w:val="28"/>
          <w:highlight w:val="none"/>
          <w:lang w:val="en-US" w:eastAsia="zh-CN"/>
        </w:rPr>
        <w:t>维修保养</w:t>
      </w:r>
      <w:r>
        <w:rPr>
          <w:rFonts w:hint="default" w:ascii="仿宋" w:hAnsi="仿宋" w:eastAsia="仿宋" w:cs="仿宋"/>
          <w:color w:val="FF0000"/>
          <w:sz w:val="28"/>
          <w:szCs w:val="28"/>
          <w:highlight w:val="none"/>
          <w:lang w:val="en-US" w:eastAsia="zh-CN"/>
        </w:rPr>
        <w:t>时须有2</w:t>
      </w:r>
      <w:r>
        <w:rPr>
          <w:rFonts w:hint="eastAsia" w:ascii="仿宋" w:hAnsi="仿宋" w:eastAsia="仿宋" w:cs="仿宋"/>
          <w:color w:val="FF0000"/>
          <w:sz w:val="28"/>
          <w:szCs w:val="28"/>
          <w:highlight w:val="none"/>
          <w:lang w:val="en-US" w:eastAsia="zh-CN"/>
        </w:rPr>
        <w:t>名</w:t>
      </w:r>
      <w:r>
        <w:rPr>
          <w:rFonts w:hint="default" w:ascii="仿宋" w:hAnsi="仿宋" w:eastAsia="仿宋" w:cs="仿宋"/>
          <w:color w:val="FF0000"/>
          <w:sz w:val="28"/>
          <w:szCs w:val="28"/>
          <w:highlight w:val="none"/>
          <w:lang w:val="en-US" w:eastAsia="zh-CN"/>
        </w:rPr>
        <w:t>及以上持证人员</w:t>
      </w:r>
      <w:r>
        <w:rPr>
          <w:rFonts w:hint="eastAsia" w:ascii="仿宋" w:hAnsi="仿宋" w:eastAsia="仿宋" w:cs="仿宋"/>
          <w:color w:val="FF0000"/>
          <w:sz w:val="28"/>
          <w:szCs w:val="28"/>
          <w:highlight w:val="none"/>
          <w:lang w:val="en-US" w:eastAsia="zh-CN"/>
        </w:rPr>
        <w:t>同时</w:t>
      </w:r>
      <w:r>
        <w:rPr>
          <w:rFonts w:hint="default" w:ascii="仿宋" w:hAnsi="仿宋" w:eastAsia="仿宋" w:cs="仿宋"/>
          <w:color w:val="FF0000"/>
          <w:sz w:val="28"/>
          <w:szCs w:val="28"/>
          <w:highlight w:val="none"/>
          <w:lang w:val="en-US" w:eastAsia="zh-CN"/>
        </w:rPr>
        <w:t>作业。</w:t>
      </w:r>
      <w:r>
        <w:rPr>
          <w:rFonts w:hint="eastAsia" w:ascii="仿宋" w:hAnsi="仿宋" w:eastAsia="仿宋" w:cs="仿宋"/>
          <w:color w:val="FF0000"/>
          <w:sz w:val="28"/>
          <w:szCs w:val="28"/>
          <w:highlight w:val="none"/>
          <w:lang w:val="en-US" w:eastAsia="zh-CN"/>
        </w:rPr>
        <w:t>（需提供持证人员清单，不得随意更换，投标文件内提供复印件）</w:t>
      </w:r>
    </w:p>
    <w:p w14:paraId="16B05BB2">
      <w:pPr>
        <w:pStyle w:val="14"/>
        <w:numPr>
          <w:ilvl w:val="0"/>
          <w:numId w:val="0"/>
        </w:num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kern w:val="2"/>
          <w:sz w:val="28"/>
          <w:szCs w:val="28"/>
          <w:highlight w:val="none"/>
          <w:lang w:val="en-US" w:eastAsia="zh-CN" w:bidi="ar-SA"/>
        </w:rPr>
        <w:t>4</w:t>
      </w:r>
      <w:r>
        <w:rPr>
          <w:rFonts w:hint="eastAsia" w:ascii="仿宋" w:hAnsi="仿宋" w:eastAsia="仿宋" w:cs="仿宋"/>
          <w:kern w:val="2"/>
          <w:sz w:val="28"/>
          <w:szCs w:val="28"/>
          <w:highlight w:val="none"/>
          <w:u w:val="none"/>
          <w:lang w:val="en-US" w:eastAsia="zh-CN" w:bidi="ar-SA"/>
        </w:rPr>
        <w:t>、</w:t>
      </w:r>
      <w:r>
        <w:rPr>
          <w:rFonts w:hint="eastAsia" w:ascii="仿宋" w:hAnsi="仿宋" w:eastAsia="仿宋" w:cs="仿宋"/>
          <w:sz w:val="28"/>
          <w:szCs w:val="28"/>
          <w:highlight w:val="none"/>
          <w:lang w:val="en-US" w:eastAsia="zh-CN"/>
        </w:rPr>
        <w:t>须提供全年365天24小时的应急响应服务，并确保通讯畅通。</w:t>
      </w:r>
    </w:p>
    <w:p w14:paraId="1CE4C700">
      <w:pPr>
        <w:pStyle w:val="14"/>
        <w:numPr>
          <w:ilvl w:val="0"/>
          <w:numId w:val="0"/>
        </w:num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①项目的维保人员，在接到故障或事故报警后</w:t>
      </w:r>
      <w:r>
        <w:rPr>
          <w:rFonts w:hint="eastAsia" w:ascii="仿宋" w:hAnsi="仿宋" w:eastAsia="仿宋" w:cs="仿宋"/>
          <w:color w:val="auto"/>
          <w:sz w:val="28"/>
          <w:szCs w:val="28"/>
          <w:highlight w:val="none"/>
          <w:lang w:val="en-US" w:eastAsia="zh-CN"/>
        </w:rPr>
        <w:t>15分钟内到</w:t>
      </w:r>
      <w:r>
        <w:rPr>
          <w:rFonts w:hint="eastAsia" w:ascii="仿宋" w:hAnsi="仿宋" w:eastAsia="仿宋" w:cs="仿宋"/>
          <w:sz w:val="28"/>
          <w:szCs w:val="28"/>
          <w:highlight w:val="none"/>
          <w:lang w:val="en-US" w:eastAsia="zh-CN"/>
        </w:rPr>
        <w:t>达现场，超出时间引起的事故或损失应承担相应的责任，并能提供正常连续的服务直至故障或事故排除。</w:t>
      </w:r>
    </w:p>
    <w:p w14:paraId="4FEF6608">
      <w:pPr>
        <w:pStyle w:val="14"/>
        <w:numPr>
          <w:ilvl w:val="0"/>
          <w:numId w:val="0"/>
        </w:num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②对电梯困人事故要求在到达现场后5分钟内把乘客从轿厢中救出、对非电子板原因的常见故</w:t>
      </w:r>
      <w:r>
        <w:rPr>
          <w:rFonts w:hint="eastAsia" w:ascii="仿宋" w:hAnsi="仿宋" w:eastAsia="仿宋" w:cs="仿宋"/>
          <w:color w:val="auto"/>
          <w:sz w:val="28"/>
          <w:szCs w:val="28"/>
          <w:highlight w:val="none"/>
          <w:lang w:val="en-US" w:eastAsia="zh-CN"/>
        </w:rPr>
        <w:t>障要求在60分钟内排除，对电子板原因的故障应在24小时内恢复电梯正常运行。</w:t>
      </w:r>
    </w:p>
    <w:p w14:paraId="609D0BED">
      <w:pPr>
        <w:pStyle w:val="14"/>
        <w:numPr>
          <w:ilvl w:val="0"/>
          <w:numId w:val="0"/>
        </w:numPr>
        <w:snapToGrid w:val="0"/>
        <w:spacing w:line="360" w:lineRule="auto"/>
        <w:ind w:firstLine="600" w:firstLineChars="200"/>
        <w:rPr>
          <w:rFonts w:hint="default" w:ascii="仿宋" w:hAnsi="仿宋" w:eastAsia="仿宋" w:cs="仿宋"/>
          <w:b/>
          <w:bCs/>
          <w:color w:val="FF0000"/>
          <w:sz w:val="28"/>
          <w:szCs w:val="28"/>
          <w:highlight w:val="none"/>
          <w:lang w:val="en-US" w:eastAsia="zh-CN"/>
        </w:rPr>
      </w:pPr>
      <w:r>
        <w:rPr>
          <w:rStyle w:val="77"/>
          <w:rFonts w:hint="eastAsia" w:ascii="仿宋" w:hAnsi="仿宋" w:eastAsia="仿宋" w:cs="仿宋"/>
          <w:color w:val="FF0000"/>
          <w:kern w:val="0"/>
          <w:sz w:val="30"/>
          <w:szCs w:val="30"/>
          <w:highlight w:val="none"/>
          <w:lang w:val="en-US" w:eastAsia="zh-CN" w:bidi="ar-SA"/>
        </w:rPr>
        <w:t>*</w:t>
      </w:r>
      <w:r>
        <w:rPr>
          <w:rFonts w:hint="eastAsia" w:ascii="仿宋" w:hAnsi="仿宋" w:eastAsia="仿宋" w:cs="仿宋"/>
          <w:color w:val="FF0000"/>
          <w:sz w:val="28"/>
          <w:szCs w:val="28"/>
          <w:highlight w:val="none"/>
          <w:lang w:val="en-US" w:eastAsia="zh-CN"/>
        </w:rPr>
        <w:t>③中标单位需有能力及时提供相应易损耗配件，做到电梯易损件故障24小时内恢复电梯运行；1万元（不含本数）以内配件故障3个日历天内恢复电梯正常运转；超1万元（含本数）电梯配件业主单位采购后中标单位需在3个日历天内安装完成且提供免费安装服务；电梯故障三天内无法解决的，</w:t>
      </w:r>
      <w:r>
        <w:rPr>
          <w:rFonts w:hint="eastAsia" w:ascii="仿宋" w:hAnsi="仿宋" w:eastAsia="仿宋" w:cs="仿宋"/>
          <w:b/>
          <w:bCs/>
          <w:color w:val="FF0000"/>
          <w:sz w:val="28"/>
          <w:szCs w:val="28"/>
          <w:highlight w:val="none"/>
          <w:lang w:val="en-US" w:eastAsia="zh-CN"/>
        </w:rPr>
        <w:t>院方有权邀请第三方介入，所需费用由中标方承担，纳入考核要求（提供承诺函并加盖供应商公章）。</w:t>
      </w:r>
    </w:p>
    <w:p w14:paraId="6D09C80F">
      <w:pPr>
        <w:pStyle w:val="14"/>
        <w:numPr>
          <w:ilvl w:val="0"/>
          <w:numId w:val="0"/>
        </w:num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④对故障电梯进行诊断，并于故障恢复后当天出具电梯故障诊断报告。</w:t>
      </w:r>
    </w:p>
    <w:p w14:paraId="2A00905A">
      <w:pPr>
        <w:pStyle w:val="14"/>
        <w:numPr>
          <w:ilvl w:val="0"/>
          <w:numId w:val="0"/>
        </w:num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⑤配合政府部门对服务期内的设备实施并通过年检，如因维保原因未能通过定期检测或年检的，发生的复检费用由乙方负责。</w:t>
      </w:r>
    </w:p>
    <w:p w14:paraId="138D7BEC">
      <w:pPr>
        <w:pStyle w:val="14"/>
        <w:numPr>
          <w:ilvl w:val="0"/>
          <w:numId w:val="0"/>
        </w:num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5、对更换下来的电子器件应由使用单位保</w:t>
      </w:r>
      <w:r>
        <w:rPr>
          <w:rFonts w:hint="eastAsia" w:ascii="仿宋" w:hAnsi="仿宋" w:eastAsia="仿宋" w:cs="仿宋"/>
          <w:color w:val="000000" w:themeColor="text1"/>
          <w:sz w:val="28"/>
          <w:szCs w:val="28"/>
          <w:highlight w:val="none"/>
          <w:lang w:val="en-US" w:eastAsia="zh-CN"/>
          <w14:textFill>
            <w14:solidFill>
              <w14:schemeClr w14:val="tx1"/>
            </w14:solidFill>
          </w14:textFill>
        </w:rPr>
        <w:t>管处理。</w:t>
      </w:r>
    </w:p>
    <w:p w14:paraId="7BADD5D9">
      <w:pPr>
        <w:pStyle w:val="14"/>
        <w:numPr>
          <w:ilvl w:val="0"/>
          <w:numId w:val="0"/>
        </w:num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6、提供电梯定期检验报检服务（费用由甲方支付）并及时更换特种设备使用标志，免费提供电梯轿厢相关宣传海报，在节假日或甲方需要时提供专项安全检查报告，协助甲方接受主管部门检查。</w:t>
      </w:r>
    </w:p>
    <w:p w14:paraId="729D2F64">
      <w:pPr>
        <w:pStyle w:val="14"/>
        <w:numPr>
          <w:ilvl w:val="0"/>
          <w:numId w:val="0"/>
        </w:num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b w:val="0"/>
          <w:bCs w:val="0"/>
          <w:kern w:val="2"/>
          <w:sz w:val="28"/>
          <w:szCs w:val="28"/>
          <w:highlight w:val="none"/>
          <w:lang w:val="en-US" w:eastAsia="zh-CN" w:bidi="ar-SA"/>
        </w:rPr>
        <w:t>7</w:t>
      </w:r>
      <w:r>
        <w:rPr>
          <w:rFonts w:hint="eastAsia" w:ascii="仿宋" w:hAnsi="仿宋" w:eastAsia="仿宋" w:cs="仿宋"/>
          <w:b w:val="0"/>
          <w:bCs w:val="0"/>
          <w:sz w:val="28"/>
          <w:szCs w:val="28"/>
          <w:highlight w:val="none"/>
          <w:lang w:val="en-US" w:eastAsia="zh-CN"/>
        </w:rPr>
        <w:t>、</w:t>
      </w:r>
      <w:r>
        <w:rPr>
          <w:rFonts w:hint="eastAsia" w:ascii="仿宋" w:hAnsi="仿宋" w:eastAsia="仿宋" w:cs="仿宋"/>
          <w:sz w:val="28"/>
          <w:szCs w:val="28"/>
          <w:highlight w:val="none"/>
          <w:lang w:val="en-US" w:eastAsia="zh-CN"/>
        </w:rPr>
        <w:t>使用单位保留是否签署续签保养合同的权力。</w:t>
      </w:r>
    </w:p>
    <w:p w14:paraId="33586649">
      <w:pPr>
        <w:pStyle w:val="14"/>
        <w:numPr>
          <w:ilvl w:val="0"/>
          <w:numId w:val="0"/>
        </w:numPr>
        <w:snapToGrid w:val="0"/>
        <w:spacing w:line="360" w:lineRule="auto"/>
        <w:ind w:firstLine="600" w:firstLineChars="200"/>
        <w:rPr>
          <w:rFonts w:hint="default" w:ascii="仿宋" w:hAnsi="仿宋" w:eastAsia="仿宋" w:cs="仿宋"/>
          <w:sz w:val="28"/>
          <w:szCs w:val="28"/>
          <w:highlight w:val="none"/>
          <w:lang w:val="en-US" w:eastAsia="zh-CN"/>
        </w:rPr>
      </w:pPr>
      <w:r>
        <w:rPr>
          <w:rStyle w:val="77"/>
          <w:rFonts w:hint="eastAsia" w:ascii="仿宋" w:hAnsi="仿宋" w:eastAsia="仿宋" w:cs="仿宋"/>
          <w:color w:val="FF0000"/>
          <w:kern w:val="0"/>
          <w:sz w:val="30"/>
          <w:szCs w:val="30"/>
          <w:highlight w:val="none"/>
          <w:lang w:val="en-US" w:eastAsia="zh-CN" w:bidi="ar-SA"/>
        </w:rPr>
        <w:t>*</w:t>
      </w:r>
      <w:r>
        <w:rPr>
          <w:rFonts w:hint="eastAsia" w:ascii="仿宋" w:hAnsi="仿宋" w:eastAsia="仿宋" w:cs="仿宋"/>
          <w:color w:val="FF0000"/>
          <w:sz w:val="28"/>
          <w:szCs w:val="28"/>
          <w:highlight w:val="none"/>
          <w:lang w:val="en-US" w:eastAsia="zh-CN"/>
        </w:rPr>
        <w:t>8、负责医院所有电梯125%载重试验并承担全部费用</w:t>
      </w:r>
      <w:r>
        <w:rPr>
          <w:rFonts w:hint="eastAsia" w:ascii="仿宋" w:hAnsi="仿宋" w:eastAsia="仿宋" w:cs="仿宋"/>
          <w:b/>
          <w:bCs/>
          <w:color w:val="FF0000"/>
          <w:sz w:val="28"/>
          <w:szCs w:val="28"/>
          <w:highlight w:val="none"/>
          <w:lang w:val="en-US" w:eastAsia="zh-CN"/>
        </w:rPr>
        <w:t>（提供承诺函并加盖供应商公章）。</w:t>
      </w:r>
    </w:p>
    <w:p w14:paraId="07A349BC">
      <w:pPr>
        <w:pStyle w:val="14"/>
        <w:numPr>
          <w:ilvl w:val="0"/>
          <w:numId w:val="0"/>
        </w:numPr>
        <w:snapToGrid w:val="0"/>
        <w:spacing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eastAsia="zh-CN"/>
        </w:rPr>
        <w:t>三、</w:t>
      </w:r>
      <w:r>
        <w:rPr>
          <w:rFonts w:hint="eastAsia" w:ascii="仿宋" w:hAnsi="仿宋" w:eastAsia="仿宋" w:cs="仿宋"/>
          <w:b/>
          <w:bCs/>
          <w:sz w:val="28"/>
          <w:szCs w:val="28"/>
          <w:highlight w:val="none"/>
        </w:rPr>
        <w:t>服务标准</w:t>
      </w:r>
    </w:p>
    <w:p w14:paraId="3A80B6A1">
      <w:pPr>
        <w:pStyle w:val="14"/>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、保证电梯安全运行。</w:t>
      </w:r>
    </w:p>
    <w:p w14:paraId="7AC085CA">
      <w:pPr>
        <w:pStyle w:val="14"/>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、在保证电梯安全运行的前提下降低电梯维护保养成本。</w:t>
      </w:r>
    </w:p>
    <w:p w14:paraId="35F633F1">
      <w:pPr>
        <w:pStyle w:val="14"/>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、日常维护保养应遵守的标准</w:t>
      </w:r>
    </w:p>
    <w:p w14:paraId="3BB78444">
      <w:pPr>
        <w:pStyle w:val="14"/>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①电梯维护保养规则TSG T5002-2017</w:t>
      </w:r>
    </w:p>
    <w:p w14:paraId="3F339EE7">
      <w:pPr>
        <w:pStyle w:val="14"/>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②电梯、自动扶梯和自动人行道维修规范SGB/T 18775-2009</w:t>
      </w:r>
    </w:p>
    <w:p w14:paraId="32954AF7">
      <w:pPr>
        <w:pStyle w:val="14"/>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③电梯日常维护保养规则</w:t>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"javascript:viewDetailSubmit(document.forms%5b0%5d,792526,'DB11/%20418-2007')"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DB11/418-20</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lang w:val="en-US" w:eastAsia="zh-CN"/>
        </w:rPr>
        <w:t>9</w:t>
      </w:r>
    </w:p>
    <w:p w14:paraId="6D769C31">
      <w:pPr>
        <w:pStyle w:val="14"/>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④电梯安装、改造、重大修理和维护保养自检规则</w:t>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"javascript:viewDetailSubmit(document.forms%5b0%5d,792528,'DB11/%20420-2007')"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DB11/420-20</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lang w:val="en-US" w:eastAsia="zh-CN"/>
        </w:rPr>
        <w:t>9</w:t>
      </w:r>
    </w:p>
    <w:p w14:paraId="6EE380BD">
      <w:pPr>
        <w:pStyle w:val="14"/>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⑤电梯安装使用维护说明书</w:t>
      </w:r>
    </w:p>
    <w:p w14:paraId="11740647">
      <w:pPr>
        <w:pStyle w:val="14"/>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⑥维保合同</w:t>
      </w:r>
    </w:p>
    <w:p w14:paraId="63D09172">
      <w:pPr>
        <w:pStyle w:val="14"/>
        <w:snapToGrid w:val="0"/>
        <w:spacing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eastAsia="zh-CN"/>
        </w:rPr>
        <w:t>四</w:t>
      </w:r>
      <w:r>
        <w:rPr>
          <w:rFonts w:hint="eastAsia" w:ascii="仿宋" w:hAnsi="仿宋" w:eastAsia="仿宋" w:cs="仿宋"/>
          <w:b/>
          <w:bCs/>
          <w:sz w:val="28"/>
          <w:szCs w:val="28"/>
          <w:highlight w:val="none"/>
        </w:rPr>
        <w:t>、检验标准：</w:t>
      </w:r>
    </w:p>
    <w:p w14:paraId="7A709B64">
      <w:pPr>
        <w:pStyle w:val="14"/>
        <w:snapToGrid w:val="0"/>
        <w:spacing w:line="360" w:lineRule="auto"/>
        <w:ind w:firstLine="280" w:firstLineChars="100"/>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①电梯监督检验和定期检验规则TSG 7001-20</w:t>
      </w:r>
      <w:r>
        <w:rPr>
          <w:rFonts w:hint="eastAsia" w:ascii="仿宋" w:hAnsi="仿宋" w:eastAsia="仿宋" w:cs="仿宋"/>
          <w:sz w:val="28"/>
          <w:szCs w:val="28"/>
          <w:highlight w:val="none"/>
          <w:lang w:val="en-US" w:eastAsia="zh-CN"/>
        </w:rPr>
        <w:t>23</w:t>
      </w:r>
    </w:p>
    <w:p w14:paraId="43A909F4">
      <w:pPr>
        <w:pStyle w:val="14"/>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以上规章、标准不论有无年代号，除有特别说明的以外，均以最新有效版本为准。</w:t>
      </w:r>
    </w:p>
    <w:p w14:paraId="53FB0F84">
      <w:pPr>
        <w:pStyle w:val="14"/>
        <w:snapToGrid w:val="0"/>
        <w:spacing w:line="360" w:lineRule="auto"/>
        <w:ind w:firstLine="562" w:firstLineChars="200"/>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五、考核标准：</w:t>
      </w:r>
    </w:p>
    <w:p w14:paraId="76BD3861">
      <w:pPr>
        <w:rPr>
          <w:rFonts w:hint="eastAsia" w:ascii="仿宋" w:hAnsi="仿宋" w:eastAsia="仿宋" w:cs="仿宋"/>
          <w:highlight w:val="none"/>
          <w:lang w:val="en-US" w:eastAsia="zh-CN"/>
        </w:rPr>
      </w:pPr>
      <w:r>
        <w:rPr>
          <w:rFonts w:hint="eastAsia" w:ascii="仿宋" w:hAnsi="仿宋" w:eastAsia="仿宋" w:cs="仿宋"/>
          <w:highlight w:val="none"/>
          <w:lang w:val="en-US" w:eastAsia="zh-CN"/>
        </w:rPr>
        <w:t>项目名称：芜湖市中西医结合医院（</w:t>
      </w:r>
      <w:r>
        <w:rPr>
          <w:rFonts w:hint="eastAsia" w:ascii="仿宋" w:hAnsi="仿宋" w:eastAsia="仿宋" w:cs="仿宋"/>
          <w:sz w:val="21"/>
          <w:szCs w:val="21"/>
          <w:highlight w:val="none"/>
        </w:rPr>
        <w:t>湾沚区总医院</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电梯维保服务项目</w:t>
      </w:r>
      <w:r>
        <w:rPr>
          <w:rFonts w:hint="eastAsia" w:ascii="仿宋" w:hAnsi="仿宋" w:eastAsia="仿宋" w:cs="仿宋"/>
          <w:highlight w:val="none"/>
          <w:lang w:val="en-US" w:eastAsia="zh-CN"/>
        </w:rPr>
        <w:t xml:space="preserve">                  维保单位：</w:t>
      </w:r>
    </w:p>
    <w:tbl>
      <w:tblPr>
        <w:tblStyle w:val="24"/>
        <w:tblpPr w:leftFromText="180" w:rightFromText="180" w:vertAnchor="text" w:horzAnchor="page" w:tblpX="1454" w:tblpY="5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1707"/>
        <w:gridCol w:w="4117"/>
        <w:gridCol w:w="1080"/>
        <w:gridCol w:w="1410"/>
        <w:gridCol w:w="945"/>
      </w:tblGrid>
      <w:tr w14:paraId="66DC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Align w:val="center"/>
          </w:tcPr>
          <w:p w14:paraId="082990BC">
            <w:pPr>
              <w:widowControl w:val="0"/>
              <w:jc w:val="center"/>
              <w:rPr>
                <w:rFonts w:hint="default" w:ascii="仿宋" w:hAnsi="仿宋" w:eastAsia="仿宋" w:cs="仿宋"/>
                <w:b/>
                <w:bCs/>
                <w:sz w:val="24"/>
                <w:szCs w:val="32"/>
                <w:highlight w:val="none"/>
                <w:vertAlign w:val="baseline"/>
                <w:lang w:val="en-US" w:eastAsia="zh-CN"/>
              </w:rPr>
            </w:pPr>
            <w:r>
              <w:rPr>
                <w:rFonts w:hint="eastAsia" w:ascii="仿宋" w:hAnsi="仿宋" w:eastAsia="仿宋" w:cs="仿宋"/>
                <w:b/>
                <w:bCs/>
                <w:sz w:val="24"/>
                <w:szCs w:val="32"/>
                <w:highlight w:val="none"/>
                <w:vertAlign w:val="baseline"/>
                <w:lang w:val="en-US" w:eastAsia="zh-CN"/>
              </w:rPr>
              <w:t>序号</w:t>
            </w:r>
          </w:p>
        </w:tc>
        <w:tc>
          <w:tcPr>
            <w:tcW w:w="1707" w:type="dxa"/>
            <w:vAlign w:val="center"/>
          </w:tcPr>
          <w:p w14:paraId="61352314">
            <w:pPr>
              <w:widowControl w:val="0"/>
              <w:jc w:val="center"/>
              <w:rPr>
                <w:rFonts w:hint="default" w:ascii="仿宋" w:hAnsi="仿宋" w:eastAsia="仿宋" w:cs="仿宋"/>
                <w:b/>
                <w:bCs/>
                <w:sz w:val="24"/>
                <w:szCs w:val="32"/>
                <w:highlight w:val="none"/>
                <w:vertAlign w:val="baseline"/>
                <w:lang w:val="en-US" w:eastAsia="zh-CN"/>
              </w:rPr>
            </w:pPr>
            <w:r>
              <w:rPr>
                <w:rFonts w:hint="eastAsia" w:ascii="仿宋" w:hAnsi="仿宋" w:eastAsia="仿宋" w:cs="仿宋"/>
                <w:b/>
                <w:bCs/>
                <w:sz w:val="24"/>
                <w:szCs w:val="32"/>
                <w:highlight w:val="none"/>
                <w:vertAlign w:val="baseline"/>
                <w:lang w:val="en-US" w:eastAsia="zh-CN"/>
              </w:rPr>
              <w:t>考核项目</w:t>
            </w:r>
          </w:p>
        </w:tc>
        <w:tc>
          <w:tcPr>
            <w:tcW w:w="4117" w:type="dxa"/>
            <w:vAlign w:val="center"/>
          </w:tcPr>
          <w:p w14:paraId="10C3C84D">
            <w:pPr>
              <w:widowControl w:val="0"/>
              <w:jc w:val="center"/>
              <w:rPr>
                <w:rFonts w:hint="default" w:ascii="仿宋" w:hAnsi="仿宋" w:eastAsia="仿宋" w:cs="仿宋"/>
                <w:b/>
                <w:bCs/>
                <w:sz w:val="24"/>
                <w:szCs w:val="32"/>
                <w:highlight w:val="none"/>
                <w:vertAlign w:val="baseline"/>
                <w:lang w:val="en-US" w:eastAsia="zh-CN"/>
              </w:rPr>
            </w:pPr>
            <w:r>
              <w:rPr>
                <w:rFonts w:hint="eastAsia" w:ascii="仿宋" w:hAnsi="仿宋" w:eastAsia="仿宋" w:cs="仿宋"/>
                <w:b/>
                <w:bCs/>
                <w:sz w:val="24"/>
                <w:szCs w:val="32"/>
                <w:highlight w:val="none"/>
                <w:vertAlign w:val="baseline"/>
                <w:lang w:val="en-US" w:eastAsia="zh-CN"/>
              </w:rPr>
              <w:t>考核标准</w:t>
            </w:r>
          </w:p>
        </w:tc>
        <w:tc>
          <w:tcPr>
            <w:tcW w:w="1080" w:type="dxa"/>
            <w:vAlign w:val="center"/>
          </w:tcPr>
          <w:p w14:paraId="448BC49D">
            <w:pPr>
              <w:widowControl w:val="0"/>
              <w:jc w:val="center"/>
              <w:rPr>
                <w:rFonts w:hint="default" w:ascii="仿宋" w:hAnsi="仿宋" w:eastAsia="仿宋" w:cs="仿宋"/>
                <w:b/>
                <w:bCs/>
                <w:sz w:val="24"/>
                <w:szCs w:val="32"/>
                <w:highlight w:val="none"/>
                <w:vertAlign w:val="baseline"/>
                <w:lang w:val="en-US" w:eastAsia="zh-CN"/>
              </w:rPr>
            </w:pPr>
            <w:r>
              <w:rPr>
                <w:rFonts w:hint="eastAsia" w:ascii="仿宋" w:hAnsi="仿宋" w:eastAsia="仿宋" w:cs="仿宋"/>
                <w:b/>
                <w:bCs/>
                <w:sz w:val="24"/>
                <w:szCs w:val="32"/>
                <w:highlight w:val="none"/>
                <w:vertAlign w:val="baseline"/>
                <w:lang w:val="en-US" w:eastAsia="zh-CN"/>
              </w:rPr>
              <w:t>标准分</w:t>
            </w:r>
          </w:p>
        </w:tc>
        <w:tc>
          <w:tcPr>
            <w:tcW w:w="1410" w:type="dxa"/>
            <w:vAlign w:val="center"/>
          </w:tcPr>
          <w:p w14:paraId="0101FD1D">
            <w:pPr>
              <w:widowControl w:val="0"/>
              <w:jc w:val="center"/>
              <w:rPr>
                <w:rFonts w:hint="default" w:ascii="仿宋" w:hAnsi="仿宋" w:eastAsia="仿宋" w:cs="仿宋"/>
                <w:b/>
                <w:bCs/>
                <w:sz w:val="24"/>
                <w:szCs w:val="32"/>
                <w:highlight w:val="none"/>
                <w:vertAlign w:val="baseline"/>
                <w:lang w:val="en-US" w:eastAsia="zh-CN"/>
              </w:rPr>
            </w:pPr>
            <w:r>
              <w:rPr>
                <w:rFonts w:hint="eastAsia" w:ascii="仿宋" w:hAnsi="仿宋" w:eastAsia="仿宋" w:cs="仿宋"/>
                <w:b/>
                <w:bCs/>
                <w:sz w:val="24"/>
                <w:szCs w:val="32"/>
                <w:highlight w:val="none"/>
                <w:vertAlign w:val="baseline"/>
                <w:lang w:val="en-US" w:eastAsia="zh-CN"/>
              </w:rPr>
              <w:t>考评分</w:t>
            </w:r>
          </w:p>
        </w:tc>
        <w:tc>
          <w:tcPr>
            <w:tcW w:w="945" w:type="dxa"/>
            <w:vAlign w:val="center"/>
          </w:tcPr>
          <w:p w14:paraId="7AFE190B">
            <w:pPr>
              <w:widowControl w:val="0"/>
              <w:jc w:val="center"/>
              <w:rPr>
                <w:rFonts w:hint="default" w:ascii="仿宋" w:hAnsi="仿宋" w:eastAsia="仿宋" w:cs="仿宋"/>
                <w:b/>
                <w:bCs/>
                <w:sz w:val="24"/>
                <w:szCs w:val="32"/>
                <w:highlight w:val="none"/>
                <w:vertAlign w:val="baseline"/>
                <w:lang w:val="en-US" w:eastAsia="zh-CN"/>
              </w:rPr>
            </w:pPr>
            <w:r>
              <w:rPr>
                <w:rFonts w:hint="eastAsia" w:ascii="仿宋" w:hAnsi="仿宋" w:eastAsia="仿宋" w:cs="仿宋"/>
                <w:b/>
                <w:bCs/>
                <w:sz w:val="24"/>
                <w:szCs w:val="32"/>
                <w:highlight w:val="none"/>
                <w:vertAlign w:val="baseline"/>
                <w:lang w:val="en-US" w:eastAsia="zh-CN"/>
              </w:rPr>
              <w:t>说明</w:t>
            </w:r>
          </w:p>
        </w:tc>
      </w:tr>
      <w:tr w14:paraId="60F1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Align w:val="center"/>
          </w:tcPr>
          <w:p w14:paraId="7D075AF0">
            <w:pPr>
              <w:widowControl w:val="0"/>
              <w:jc w:val="center"/>
              <w:rPr>
                <w:rFonts w:hint="default" w:ascii="仿宋" w:hAnsi="仿宋" w:eastAsia="仿宋" w:cs="仿宋"/>
                <w:b/>
                <w:bCs/>
                <w:highlight w:val="none"/>
                <w:vertAlign w:val="baseline"/>
                <w:lang w:val="en-US" w:eastAsia="zh-CN"/>
              </w:rPr>
            </w:pPr>
            <w:r>
              <w:rPr>
                <w:rFonts w:hint="eastAsia" w:ascii="仿宋" w:hAnsi="仿宋" w:eastAsia="仿宋" w:cs="仿宋"/>
                <w:b/>
                <w:bCs/>
                <w:highlight w:val="none"/>
                <w:vertAlign w:val="baseline"/>
                <w:lang w:val="en-US" w:eastAsia="zh-CN"/>
              </w:rPr>
              <w:t>1</w:t>
            </w:r>
          </w:p>
        </w:tc>
        <w:tc>
          <w:tcPr>
            <w:tcW w:w="1707" w:type="dxa"/>
            <w:vAlign w:val="center"/>
          </w:tcPr>
          <w:p w14:paraId="0F6C34E4">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效率</w:t>
            </w:r>
          </w:p>
        </w:tc>
        <w:tc>
          <w:tcPr>
            <w:tcW w:w="4117" w:type="dxa"/>
            <w:vAlign w:val="center"/>
          </w:tcPr>
          <w:p w14:paraId="4340EBAF">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b w:val="0"/>
                <w:bCs w:val="0"/>
                <w:sz w:val="21"/>
                <w:szCs w:val="21"/>
                <w:highlight w:val="none"/>
                <w:vertAlign w:val="baseline"/>
                <w:lang w:val="en-US" w:eastAsia="zh-CN"/>
              </w:rPr>
              <w:t>接到困人报警后，不按招标要求的时间内（15分钟）到场，每出现一次扣2分，不到场（以30分钟为限）每出现一次扣10分</w:t>
            </w:r>
          </w:p>
        </w:tc>
        <w:tc>
          <w:tcPr>
            <w:tcW w:w="1080" w:type="dxa"/>
            <w:vAlign w:val="center"/>
          </w:tcPr>
          <w:p w14:paraId="0D90823F">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30</w:t>
            </w:r>
          </w:p>
        </w:tc>
        <w:tc>
          <w:tcPr>
            <w:tcW w:w="1410" w:type="dxa"/>
            <w:vAlign w:val="center"/>
          </w:tcPr>
          <w:p w14:paraId="3ABDA886">
            <w:pPr>
              <w:widowControl w:val="0"/>
              <w:jc w:val="center"/>
              <w:rPr>
                <w:rFonts w:hint="default" w:ascii="仿宋" w:hAnsi="仿宋" w:eastAsia="仿宋" w:cs="仿宋"/>
                <w:highlight w:val="none"/>
                <w:vertAlign w:val="baseline"/>
                <w:lang w:val="en-US" w:eastAsia="zh-CN"/>
              </w:rPr>
            </w:pPr>
          </w:p>
        </w:tc>
        <w:tc>
          <w:tcPr>
            <w:tcW w:w="945" w:type="dxa"/>
            <w:vAlign w:val="center"/>
          </w:tcPr>
          <w:p w14:paraId="237453CF">
            <w:pPr>
              <w:widowControl w:val="0"/>
              <w:jc w:val="center"/>
              <w:rPr>
                <w:rFonts w:hint="default" w:ascii="仿宋" w:hAnsi="仿宋" w:eastAsia="仿宋" w:cs="仿宋"/>
                <w:highlight w:val="none"/>
                <w:vertAlign w:val="baseline"/>
                <w:lang w:val="en-US" w:eastAsia="zh-CN"/>
              </w:rPr>
            </w:pPr>
          </w:p>
        </w:tc>
      </w:tr>
      <w:tr w14:paraId="0CCA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Align w:val="center"/>
          </w:tcPr>
          <w:p w14:paraId="507B9BE6">
            <w:pPr>
              <w:widowControl w:val="0"/>
              <w:jc w:val="center"/>
              <w:rPr>
                <w:rFonts w:hint="default" w:ascii="仿宋" w:hAnsi="仿宋" w:eastAsia="仿宋" w:cs="仿宋"/>
                <w:b/>
                <w:bCs/>
                <w:highlight w:val="none"/>
                <w:vertAlign w:val="baseline"/>
                <w:lang w:val="en-US" w:eastAsia="zh-CN"/>
              </w:rPr>
            </w:pPr>
            <w:r>
              <w:rPr>
                <w:rFonts w:hint="eastAsia" w:ascii="仿宋" w:hAnsi="仿宋" w:eastAsia="仿宋" w:cs="仿宋"/>
                <w:b/>
                <w:bCs/>
                <w:highlight w:val="none"/>
                <w:vertAlign w:val="baseline"/>
                <w:lang w:val="en-US" w:eastAsia="zh-CN"/>
              </w:rPr>
              <w:t>2</w:t>
            </w:r>
          </w:p>
        </w:tc>
        <w:tc>
          <w:tcPr>
            <w:tcW w:w="1707" w:type="dxa"/>
            <w:vAlign w:val="center"/>
          </w:tcPr>
          <w:p w14:paraId="44651830">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故障处理情况</w:t>
            </w:r>
          </w:p>
        </w:tc>
        <w:tc>
          <w:tcPr>
            <w:tcW w:w="4117" w:type="dxa"/>
            <w:vAlign w:val="center"/>
          </w:tcPr>
          <w:p w14:paraId="0733E9CE">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b w:val="0"/>
                <w:bCs w:val="0"/>
                <w:sz w:val="21"/>
                <w:szCs w:val="21"/>
                <w:highlight w:val="none"/>
                <w:vertAlign w:val="baseline"/>
                <w:lang w:val="en-US" w:eastAsia="zh-CN"/>
              </w:rPr>
              <w:t>对困人事故到达现场后不能在5分钟内把乘客从轿厢救出的出现一次扣3分，一般故障不在规定时间内（60分钟）排除，出现一次扣2分</w:t>
            </w:r>
          </w:p>
        </w:tc>
        <w:tc>
          <w:tcPr>
            <w:tcW w:w="1080" w:type="dxa"/>
            <w:vAlign w:val="center"/>
          </w:tcPr>
          <w:p w14:paraId="46094D38">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20</w:t>
            </w:r>
          </w:p>
        </w:tc>
        <w:tc>
          <w:tcPr>
            <w:tcW w:w="1410" w:type="dxa"/>
            <w:vAlign w:val="center"/>
          </w:tcPr>
          <w:p w14:paraId="3699C15C">
            <w:pPr>
              <w:widowControl w:val="0"/>
              <w:jc w:val="center"/>
              <w:rPr>
                <w:rFonts w:hint="default" w:ascii="仿宋" w:hAnsi="仿宋" w:eastAsia="仿宋" w:cs="仿宋"/>
                <w:highlight w:val="none"/>
                <w:vertAlign w:val="baseline"/>
                <w:lang w:val="en-US" w:eastAsia="zh-CN"/>
              </w:rPr>
            </w:pPr>
          </w:p>
        </w:tc>
        <w:tc>
          <w:tcPr>
            <w:tcW w:w="945" w:type="dxa"/>
            <w:vAlign w:val="center"/>
          </w:tcPr>
          <w:p w14:paraId="14637A5E">
            <w:pPr>
              <w:widowControl w:val="0"/>
              <w:jc w:val="center"/>
              <w:rPr>
                <w:rFonts w:hint="default" w:ascii="仿宋" w:hAnsi="仿宋" w:eastAsia="仿宋" w:cs="仿宋"/>
                <w:highlight w:val="none"/>
                <w:vertAlign w:val="baseline"/>
                <w:lang w:val="en-US" w:eastAsia="zh-CN"/>
              </w:rPr>
            </w:pPr>
          </w:p>
        </w:tc>
      </w:tr>
      <w:tr w14:paraId="0BA5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Align w:val="center"/>
          </w:tcPr>
          <w:p w14:paraId="64C001CE">
            <w:pPr>
              <w:widowControl w:val="0"/>
              <w:jc w:val="center"/>
              <w:rPr>
                <w:rFonts w:hint="default" w:ascii="仿宋" w:hAnsi="仿宋" w:eastAsia="仿宋" w:cs="仿宋"/>
                <w:b/>
                <w:bCs/>
                <w:highlight w:val="none"/>
                <w:vertAlign w:val="baseline"/>
                <w:lang w:val="en-US" w:eastAsia="zh-CN"/>
              </w:rPr>
            </w:pPr>
            <w:r>
              <w:rPr>
                <w:rFonts w:hint="eastAsia" w:ascii="仿宋" w:hAnsi="仿宋" w:eastAsia="仿宋" w:cs="仿宋"/>
                <w:b/>
                <w:bCs/>
                <w:highlight w:val="none"/>
                <w:vertAlign w:val="baseline"/>
                <w:lang w:val="en-US" w:eastAsia="zh-CN"/>
              </w:rPr>
              <w:t>3</w:t>
            </w:r>
          </w:p>
        </w:tc>
        <w:tc>
          <w:tcPr>
            <w:tcW w:w="1707" w:type="dxa"/>
            <w:vAlign w:val="center"/>
          </w:tcPr>
          <w:p w14:paraId="56ED299D">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电梯运行是否达到要求（电梯故障率）</w:t>
            </w:r>
          </w:p>
        </w:tc>
        <w:tc>
          <w:tcPr>
            <w:tcW w:w="4117" w:type="dxa"/>
            <w:vAlign w:val="center"/>
          </w:tcPr>
          <w:p w14:paraId="35B05F69">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b w:val="0"/>
                <w:bCs w:val="0"/>
                <w:sz w:val="21"/>
                <w:szCs w:val="21"/>
                <w:highlight w:val="none"/>
                <w:vertAlign w:val="baseline"/>
                <w:lang w:val="en-US" w:eastAsia="zh-CN"/>
              </w:rPr>
              <w:t>电梯出现困人、死机或滑梯故障次数进行考核：同一部梯不能超过2次/月，每超过一次扣3分</w:t>
            </w:r>
          </w:p>
        </w:tc>
        <w:tc>
          <w:tcPr>
            <w:tcW w:w="1080" w:type="dxa"/>
            <w:vAlign w:val="center"/>
          </w:tcPr>
          <w:p w14:paraId="67595F17">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15</w:t>
            </w:r>
          </w:p>
        </w:tc>
        <w:tc>
          <w:tcPr>
            <w:tcW w:w="1410" w:type="dxa"/>
            <w:vAlign w:val="center"/>
          </w:tcPr>
          <w:p w14:paraId="4C7BAA49">
            <w:pPr>
              <w:widowControl w:val="0"/>
              <w:jc w:val="center"/>
              <w:rPr>
                <w:rFonts w:hint="default" w:ascii="仿宋" w:hAnsi="仿宋" w:eastAsia="仿宋" w:cs="仿宋"/>
                <w:highlight w:val="none"/>
                <w:vertAlign w:val="baseline"/>
                <w:lang w:val="en-US" w:eastAsia="zh-CN"/>
              </w:rPr>
            </w:pPr>
          </w:p>
        </w:tc>
        <w:tc>
          <w:tcPr>
            <w:tcW w:w="945" w:type="dxa"/>
            <w:vAlign w:val="center"/>
          </w:tcPr>
          <w:p w14:paraId="296199D4">
            <w:pPr>
              <w:widowControl w:val="0"/>
              <w:jc w:val="center"/>
              <w:rPr>
                <w:rFonts w:hint="default" w:ascii="仿宋" w:hAnsi="仿宋" w:eastAsia="仿宋" w:cs="仿宋"/>
                <w:highlight w:val="none"/>
                <w:vertAlign w:val="baseline"/>
                <w:lang w:val="en-US" w:eastAsia="zh-CN"/>
              </w:rPr>
            </w:pPr>
          </w:p>
        </w:tc>
      </w:tr>
      <w:tr w14:paraId="1A66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Align w:val="center"/>
          </w:tcPr>
          <w:p w14:paraId="63B9BC85">
            <w:pPr>
              <w:widowControl w:val="0"/>
              <w:jc w:val="center"/>
              <w:rPr>
                <w:rFonts w:hint="default" w:ascii="仿宋" w:hAnsi="仿宋" w:eastAsia="仿宋" w:cs="仿宋"/>
                <w:b/>
                <w:bCs/>
                <w:highlight w:val="none"/>
                <w:vertAlign w:val="baseline"/>
                <w:lang w:val="en-US" w:eastAsia="zh-CN"/>
              </w:rPr>
            </w:pPr>
            <w:r>
              <w:rPr>
                <w:rFonts w:hint="eastAsia" w:ascii="仿宋" w:hAnsi="仿宋" w:eastAsia="仿宋" w:cs="仿宋"/>
                <w:b/>
                <w:bCs/>
                <w:highlight w:val="none"/>
                <w:vertAlign w:val="baseline"/>
                <w:lang w:val="en-US" w:eastAsia="zh-CN"/>
              </w:rPr>
              <w:t>4</w:t>
            </w:r>
          </w:p>
        </w:tc>
        <w:tc>
          <w:tcPr>
            <w:tcW w:w="1707" w:type="dxa"/>
            <w:vAlign w:val="center"/>
          </w:tcPr>
          <w:p w14:paraId="49BAD6F3">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安全施工</w:t>
            </w:r>
          </w:p>
        </w:tc>
        <w:tc>
          <w:tcPr>
            <w:tcW w:w="4117" w:type="dxa"/>
            <w:vAlign w:val="center"/>
          </w:tcPr>
          <w:p w14:paraId="3F03CF8F">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b w:val="0"/>
                <w:bCs w:val="0"/>
                <w:sz w:val="21"/>
                <w:szCs w:val="21"/>
                <w:highlight w:val="none"/>
                <w:vertAlign w:val="baseline"/>
                <w:lang w:val="en-US" w:eastAsia="zh-CN"/>
              </w:rPr>
              <w:t>维保人员持证上岗、按章操作，作业现场安全防护到位，无违规作业、无安全隐患。</w:t>
            </w:r>
          </w:p>
        </w:tc>
        <w:tc>
          <w:tcPr>
            <w:tcW w:w="1080" w:type="dxa"/>
            <w:vAlign w:val="center"/>
          </w:tcPr>
          <w:p w14:paraId="4A4BD8F8">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10</w:t>
            </w:r>
          </w:p>
        </w:tc>
        <w:tc>
          <w:tcPr>
            <w:tcW w:w="1410" w:type="dxa"/>
            <w:vAlign w:val="center"/>
          </w:tcPr>
          <w:p w14:paraId="05ADA032">
            <w:pPr>
              <w:widowControl w:val="0"/>
              <w:jc w:val="center"/>
              <w:rPr>
                <w:rFonts w:hint="default" w:ascii="仿宋" w:hAnsi="仿宋" w:eastAsia="仿宋" w:cs="仿宋"/>
                <w:highlight w:val="none"/>
                <w:vertAlign w:val="baseline"/>
                <w:lang w:val="en-US" w:eastAsia="zh-CN"/>
              </w:rPr>
            </w:pPr>
          </w:p>
        </w:tc>
        <w:tc>
          <w:tcPr>
            <w:tcW w:w="945" w:type="dxa"/>
            <w:vAlign w:val="center"/>
          </w:tcPr>
          <w:p w14:paraId="54F498D9">
            <w:pPr>
              <w:widowControl w:val="0"/>
              <w:jc w:val="center"/>
              <w:rPr>
                <w:rFonts w:hint="default" w:ascii="仿宋" w:hAnsi="仿宋" w:eastAsia="仿宋" w:cs="仿宋"/>
                <w:highlight w:val="none"/>
                <w:vertAlign w:val="baseline"/>
                <w:lang w:val="en-US" w:eastAsia="zh-CN"/>
              </w:rPr>
            </w:pPr>
          </w:p>
        </w:tc>
      </w:tr>
      <w:tr w14:paraId="3B9B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Align w:val="center"/>
          </w:tcPr>
          <w:p w14:paraId="7F873924">
            <w:pPr>
              <w:widowControl w:val="0"/>
              <w:jc w:val="center"/>
              <w:rPr>
                <w:rFonts w:hint="default" w:ascii="仿宋" w:hAnsi="仿宋" w:eastAsia="仿宋" w:cs="仿宋"/>
                <w:b/>
                <w:bCs/>
                <w:highlight w:val="none"/>
                <w:vertAlign w:val="baseline"/>
                <w:lang w:val="en-US" w:eastAsia="zh-CN"/>
              </w:rPr>
            </w:pPr>
            <w:r>
              <w:rPr>
                <w:rFonts w:hint="eastAsia" w:ascii="仿宋" w:hAnsi="仿宋" w:eastAsia="仿宋" w:cs="仿宋"/>
                <w:b/>
                <w:bCs/>
                <w:highlight w:val="none"/>
                <w:vertAlign w:val="baseline"/>
                <w:lang w:val="en-US" w:eastAsia="zh-CN"/>
              </w:rPr>
              <w:t>5</w:t>
            </w:r>
          </w:p>
        </w:tc>
        <w:tc>
          <w:tcPr>
            <w:tcW w:w="1707" w:type="dxa"/>
            <w:vAlign w:val="center"/>
          </w:tcPr>
          <w:p w14:paraId="2606298E">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记录与资料管理</w:t>
            </w:r>
          </w:p>
        </w:tc>
        <w:tc>
          <w:tcPr>
            <w:tcW w:w="4117" w:type="dxa"/>
            <w:vAlign w:val="center"/>
          </w:tcPr>
          <w:p w14:paraId="75F7E941">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b w:val="0"/>
                <w:bCs w:val="0"/>
                <w:sz w:val="21"/>
                <w:szCs w:val="21"/>
                <w:highlight w:val="none"/>
                <w:vertAlign w:val="baseline"/>
                <w:lang w:val="en-US" w:eastAsia="zh-CN"/>
              </w:rPr>
              <w:t>维保单位应有急修记录或报告，对电梯发生故障的时间、故障情况、处理故障的人员、时间、故障解决的办法或采取的措施以及处理结果等情况应及时进行详细记录，并有使用单位安全管理人员签字</w:t>
            </w:r>
          </w:p>
        </w:tc>
        <w:tc>
          <w:tcPr>
            <w:tcW w:w="1080" w:type="dxa"/>
            <w:vAlign w:val="center"/>
          </w:tcPr>
          <w:p w14:paraId="02BAE06E">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5</w:t>
            </w:r>
          </w:p>
        </w:tc>
        <w:tc>
          <w:tcPr>
            <w:tcW w:w="1410" w:type="dxa"/>
            <w:vAlign w:val="center"/>
          </w:tcPr>
          <w:p w14:paraId="25C860F8">
            <w:pPr>
              <w:widowControl w:val="0"/>
              <w:jc w:val="center"/>
              <w:rPr>
                <w:rFonts w:hint="default" w:ascii="仿宋" w:hAnsi="仿宋" w:eastAsia="仿宋" w:cs="仿宋"/>
                <w:highlight w:val="none"/>
                <w:vertAlign w:val="baseline"/>
                <w:lang w:val="en-US" w:eastAsia="zh-CN"/>
              </w:rPr>
            </w:pPr>
          </w:p>
        </w:tc>
        <w:tc>
          <w:tcPr>
            <w:tcW w:w="945" w:type="dxa"/>
            <w:vAlign w:val="center"/>
          </w:tcPr>
          <w:p w14:paraId="38FFE907">
            <w:pPr>
              <w:widowControl w:val="0"/>
              <w:jc w:val="center"/>
              <w:rPr>
                <w:rFonts w:hint="default" w:ascii="仿宋" w:hAnsi="仿宋" w:eastAsia="仿宋" w:cs="仿宋"/>
                <w:highlight w:val="none"/>
                <w:vertAlign w:val="baseline"/>
                <w:lang w:val="en-US" w:eastAsia="zh-CN"/>
              </w:rPr>
            </w:pPr>
          </w:p>
        </w:tc>
      </w:tr>
      <w:tr w14:paraId="629F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Align w:val="center"/>
          </w:tcPr>
          <w:p w14:paraId="0DC97FAF">
            <w:pPr>
              <w:widowControl w:val="0"/>
              <w:jc w:val="center"/>
              <w:rPr>
                <w:rFonts w:hint="default" w:ascii="仿宋" w:hAnsi="仿宋" w:eastAsia="仿宋" w:cs="仿宋"/>
                <w:b/>
                <w:bCs/>
                <w:highlight w:val="none"/>
                <w:vertAlign w:val="baseline"/>
                <w:lang w:val="en-US" w:eastAsia="zh-CN"/>
              </w:rPr>
            </w:pPr>
            <w:r>
              <w:rPr>
                <w:rFonts w:hint="eastAsia" w:ascii="仿宋" w:hAnsi="仿宋" w:eastAsia="仿宋" w:cs="仿宋"/>
                <w:b/>
                <w:bCs/>
                <w:highlight w:val="none"/>
                <w:vertAlign w:val="baseline"/>
                <w:lang w:val="en-US" w:eastAsia="zh-CN"/>
              </w:rPr>
              <w:t>6</w:t>
            </w:r>
          </w:p>
        </w:tc>
        <w:tc>
          <w:tcPr>
            <w:tcW w:w="1707" w:type="dxa"/>
            <w:vAlign w:val="center"/>
          </w:tcPr>
          <w:p w14:paraId="4C6028CF">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提供年度工作总结、应急演练、重大节假日专项检查报告（春节、端午、中秋、国庆）</w:t>
            </w:r>
          </w:p>
        </w:tc>
        <w:tc>
          <w:tcPr>
            <w:tcW w:w="4117" w:type="dxa"/>
            <w:vAlign w:val="center"/>
          </w:tcPr>
          <w:p w14:paraId="590EB2A6">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每缺少一项扣2分</w:t>
            </w:r>
          </w:p>
        </w:tc>
        <w:tc>
          <w:tcPr>
            <w:tcW w:w="1080" w:type="dxa"/>
            <w:vAlign w:val="center"/>
          </w:tcPr>
          <w:p w14:paraId="4D1F57F3">
            <w:pPr>
              <w:widowControl w:val="0"/>
              <w:jc w:val="center"/>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20</w:t>
            </w:r>
          </w:p>
        </w:tc>
        <w:tc>
          <w:tcPr>
            <w:tcW w:w="1410" w:type="dxa"/>
            <w:vAlign w:val="center"/>
          </w:tcPr>
          <w:p w14:paraId="1B7974E7">
            <w:pPr>
              <w:widowControl w:val="0"/>
              <w:jc w:val="center"/>
              <w:rPr>
                <w:rFonts w:hint="default" w:ascii="仿宋" w:hAnsi="仿宋" w:eastAsia="仿宋" w:cs="仿宋"/>
                <w:highlight w:val="none"/>
                <w:vertAlign w:val="baseline"/>
                <w:lang w:val="en-US" w:eastAsia="zh-CN"/>
              </w:rPr>
            </w:pPr>
          </w:p>
        </w:tc>
        <w:tc>
          <w:tcPr>
            <w:tcW w:w="945" w:type="dxa"/>
            <w:vAlign w:val="center"/>
          </w:tcPr>
          <w:p w14:paraId="3EBF282A">
            <w:pPr>
              <w:widowControl w:val="0"/>
              <w:jc w:val="center"/>
              <w:rPr>
                <w:rFonts w:hint="default" w:ascii="仿宋" w:hAnsi="仿宋" w:eastAsia="仿宋" w:cs="仿宋"/>
                <w:highlight w:val="none"/>
                <w:vertAlign w:val="baseline"/>
                <w:lang w:val="en-US" w:eastAsia="zh-CN"/>
              </w:rPr>
            </w:pPr>
          </w:p>
        </w:tc>
      </w:tr>
      <w:tr w14:paraId="5B74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0" w:type="dxa"/>
            <w:gridSpan w:val="6"/>
            <w:vAlign w:val="center"/>
          </w:tcPr>
          <w:p w14:paraId="436EBC89">
            <w:pPr>
              <w:widowControl w:val="0"/>
              <w:jc w:val="left"/>
              <w:rPr>
                <w:rFonts w:hint="default" w:ascii="仿宋" w:hAnsi="仿宋" w:eastAsia="仿宋" w:cs="仿宋"/>
                <w:b/>
                <w:bCs/>
                <w:sz w:val="28"/>
                <w:szCs w:val="36"/>
                <w:highlight w:val="none"/>
                <w:vertAlign w:val="baseline"/>
                <w:lang w:val="en-US" w:eastAsia="zh-CN"/>
              </w:rPr>
            </w:pPr>
            <w:r>
              <w:rPr>
                <w:rFonts w:hint="eastAsia" w:ascii="仿宋" w:hAnsi="仿宋" w:eastAsia="仿宋" w:cs="仿宋"/>
                <w:b/>
                <w:bCs/>
                <w:sz w:val="28"/>
                <w:szCs w:val="36"/>
                <w:highlight w:val="none"/>
                <w:vertAlign w:val="baseline"/>
                <w:lang w:val="en-US" w:eastAsia="zh-CN"/>
              </w:rPr>
              <w:t>一票否决：因维保不规范或未按照国家及地市标准文件进行维保，被监管部门发现并通报、处罚的行为，当次考核0分，并扣除当次全部维保费用。</w:t>
            </w:r>
          </w:p>
        </w:tc>
      </w:tr>
      <w:tr w14:paraId="7A6D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5" w:type="dxa"/>
            <w:gridSpan w:val="3"/>
            <w:vAlign w:val="center"/>
          </w:tcPr>
          <w:p w14:paraId="6770DC70">
            <w:pPr>
              <w:widowControl w:val="0"/>
              <w:jc w:val="center"/>
              <w:rPr>
                <w:rFonts w:hint="default" w:ascii="仿宋" w:hAnsi="仿宋" w:eastAsia="仿宋" w:cs="仿宋"/>
                <w:b/>
                <w:bCs/>
                <w:sz w:val="28"/>
                <w:szCs w:val="36"/>
                <w:highlight w:val="none"/>
                <w:vertAlign w:val="baseline"/>
                <w:lang w:val="en-US" w:eastAsia="zh-CN"/>
              </w:rPr>
            </w:pPr>
            <w:r>
              <w:rPr>
                <w:rFonts w:hint="eastAsia" w:ascii="仿宋" w:hAnsi="仿宋" w:eastAsia="仿宋" w:cs="仿宋"/>
                <w:b/>
                <w:bCs/>
                <w:sz w:val="28"/>
                <w:szCs w:val="36"/>
                <w:highlight w:val="none"/>
                <w:vertAlign w:val="baseline"/>
                <w:lang w:val="en-US" w:eastAsia="zh-CN"/>
              </w:rPr>
              <w:t>总计</w:t>
            </w:r>
          </w:p>
        </w:tc>
        <w:tc>
          <w:tcPr>
            <w:tcW w:w="3435" w:type="dxa"/>
            <w:gridSpan w:val="3"/>
            <w:vAlign w:val="center"/>
          </w:tcPr>
          <w:p w14:paraId="0CE2179F">
            <w:pPr>
              <w:widowControl w:val="0"/>
              <w:jc w:val="center"/>
              <w:rPr>
                <w:rFonts w:hint="default" w:ascii="仿宋" w:hAnsi="仿宋" w:eastAsia="仿宋" w:cs="仿宋"/>
                <w:b/>
                <w:bCs/>
                <w:sz w:val="28"/>
                <w:szCs w:val="36"/>
                <w:highlight w:val="none"/>
                <w:vertAlign w:val="baseline"/>
                <w:lang w:val="en-US" w:eastAsia="zh-CN"/>
              </w:rPr>
            </w:pPr>
            <w:r>
              <w:rPr>
                <w:rFonts w:hint="eastAsia" w:ascii="仿宋" w:hAnsi="仿宋" w:eastAsia="仿宋" w:cs="仿宋"/>
                <w:b/>
                <w:bCs/>
                <w:sz w:val="28"/>
                <w:szCs w:val="36"/>
                <w:highlight w:val="none"/>
                <w:vertAlign w:val="baseline"/>
                <w:lang w:val="en-US" w:eastAsia="zh-CN"/>
              </w:rPr>
              <w:t>分</w:t>
            </w:r>
          </w:p>
        </w:tc>
      </w:tr>
      <w:tr w14:paraId="6437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trPr>
        <w:tc>
          <w:tcPr>
            <w:tcW w:w="8995" w:type="dxa"/>
            <w:gridSpan w:val="5"/>
            <w:vAlign w:val="top"/>
          </w:tcPr>
          <w:p w14:paraId="018F8681">
            <w:pPr>
              <w:widowControl w:val="0"/>
              <w:jc w:val="both"/>
              <w:rPr>
                <w:rFonts w:hint="eastAsia"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使用单位考评：</w:t>
            </w:r>
          </w:p>
          <w:p w14:paraId="4FC54712">
            <w:pPr>
              <w:widowControl w:val="0"/>
              <w:jc w:val="both"/>
              <w:rPr>
                <w:rFonts w:hint="eastAsia" w:ascii="仿宋" w:hAnsi="仿宋" w:eastAsia="仿宋" w:cs="仿宋"/>
                <w:highlight w:val="none"/>
                <w:vertAlign w:val="baseline"/>
                <w:lang w:val="en-US" w:eastAsia="zh-CN"/>
              </w:rPr>
            </w:pPr>
          </w:p>
          <w:p w14:paraId="21B6F013">
            <w:pPr>
              <w:widowControl w:val="0"/>
              <w:jc w:val="both"/>
              <w:rPr>
                <w:rFonts w:hint="eastAsia" w:ascii="仿宋" w:hAnsi="仿宋" w:eastAsia="仿宋" w:cs="仿宋"/>
                <w:highlight w:val="none"/>
                <w:vertAlign w:val="baseline"/>
                <w:lang w:val="en-US" w:eastAsia="zh-CN"/>
              </w:rPr>
            </w:pPr>
          </w:p>
          <w:p w14:paraId="133FC29D">
            <w:pPr>
              <w:widowControl w:val="0"/>
              <w:jc w:val="both"/>
              <w:rPr>
                <w:rFonts w:hint="eastAsia" w:ascii="仿宋" w:hAnsi="仿宋" w:eastAsia="仿宋" w:cs="仿宋"/>
                <w:highlight w:val="none"/>
                <w:vertAlign w:val="baseline"/>
                <w:lang w:val="en-US" w:eastAsia="zh-CN"/>
              </w:rPr>
            </w:pPr>
          </w:p>
          <w:p w14:paraId="0848957B">
            <w:pPr>
              <w:widowControl w:val="0"/>
              <w:jc w:val="both"/>
              <w:rPr>
                <w:rFonts w:hint="eastAsia" w:ascii="仿宋" w:hAnsi="仿宋" w:eastAsia="仿宋" w:cs="仿宋"/>
                <w:highlight w:val="none"/>
                <w:vertAlign w:val="baseline"/>
                <w:lang w:val="en-US" w:eastAsia="zh-CN"/>
              </w:rPr>
            </w:pPr>
          </w:p>
          <w:p w14:paraId="246E03E4">
            <w:pPr>
              <w:widowControl w:val="0"/>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考评人：                                    日期：</w:t>
            </w:r>
          </w:p>
        </w:tc>
        <w:tc>
          <w:tcPr>
            <w:tcW w:w="945" w:type="dxa"/>
            <w:vAlign w:val="top"/>
          </w:tcPr>
          <w:p w14:paraId="4E08EF54">
            <w:pPr>
              <w:widowControl w:val="0"/>
              <w:jc w:val="both"/>
              <w:rPr>
                <w:rFonts w:hint="eastAsia"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维保方签字：</w:t>
            </w:r>
          </w:p>
          <w:p w14:paraId="5312E6FB">
            <w:pPr>
              <w:widowControl w:val="0"/>
              <w:jc w:val="both"/>
              <w:rPr>
                <w:rFonts w:hint="eastAsia" w:ascii="仿宋" w:hAnsi="仿宋" w:eastAsia="仿宋" w:cs="仿宋"/>
                <w:highlight w:val="none"/>
                <w:vertAlign w:val="baseline"/>
                <w:lang w:val="en-US" w:eastAsia="zh-CN"/>
              </w:rPr>
            </w:pPr>
          </w:p>
          <w:p w14:paraId="670E1C8C">
            <w:pPr>
              <w:widowControl w:val="0"/>
              <w:jc w:val="both"/>
              <w:rPr>
                <w:rFonts w:hint="eastAsia" w:ascii="仿宋" w:hAnsi="仿宋" w:eastAsia="仿宋" w:cs="仿宋"/>
                <w:highlight w:val="none"/>
                <w:vertAlign w:val="baseline"/>
                <w:lang w:val="en-US" w:eastAsia="zh-CN"/>
              </w:rPr>
            </w:pPr>
          </w:p>
          <w:p w14:paraId="125ECF20">
            <w:pPr>
              <w:widowControl w:val="0"/>
              <w:jc w:val="both"/>
              <w:rPr>
                <w:rFonts w:hint="eastAsia" w:ascii="仿宋" w:hAnsi="仿宋" w:eastAsia="仿宋" w:cs="仿宋"/>
                <w:highlight w:val="none"/>
                <w:vertAlign w:val="baseline"/>
                <w:lang w:val="en-US" w:eastAsia="zh-CN"/>
              </w:rPr>
            </w:pPr>
          </w:p>
          <w:p w14:paraId="7BDA4260">
            <w:pPr>
              <w:widowControl w:val="0"/>
              <w:jc w:val="both"/>
              <w:rPr>
                <w:rFonts w:hint="eastAsia" w:ascii="仿宋" w:hAnsi="仿宋" w:eastAsia="仿宋" w:cs="仿宋"/>
                <w:highlight w:val="none"/>
                <w:vertAlign w:val="baseline"/>
                <w:lang w:val="en-US" w:eastAsia="zh-CN"/>
              </w:rPr>
            </w:pPr>
          </w:p>
          <w:p w14:paraId="06AEC81A">
            <w:pPr>
              <w:widowControl w:val="0"/>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日期：</w:t>
            </w:r>
          </w:p>
        </w:tc>
      </w:tr>
      <w:tr w14:paraId="01F5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9940" w:type="dxa"/>
            <w:gridSpan w:val="6"/>
            <w:vAlign w:val="top"/>
          </w:tcPr>
          <w:p w14:paraId="55EA8B51">
            <w:pPr>
              <w:widowControl w:val="0"/>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说明：此考评满分100分，总分＞95分以上为优秀，每分奖励100元；85（含85）-95（含95）分为良好；75(含75)-85分为一般，对维保单位提出警示；65（含65）-75分为不合格并扣款，以75分为基数，每低于1分扣款500元；65分以下，以75分为基数，每低于1分扣款1000元，连续2次及以上出现不合格使用单位将拒签下一年度维保合同。</w:t>
            </w:r>
          </w:p>
          <w:p w14:paraId="4AD77FBC">
            <w:pPr>
              <w:widowControl w:val="0"/>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 xml:space="preserve">    </w:t>
            </w:r>
          </w:p>
        </w:tc>
      </w:tr>
    </w:tbl>
    <w:p w14:paraId="591FBAC4">
      <w:pPr>
        <w:spacing w:line="360" w:lineRule="exact"/>
        <w:contextualSpacing/>
        <w:rPr>
          <w:rFonts w:eastAsia="仿宋"/>
          <w:b/>
          <w:sz w:val="24"/>
          <w:szCs w:val="24"/>
          <w:highlight w:val="none"/>
        </w:rPr>
      </w:pPr>
    </w:p>
    <w:p w14:paraId="44B5DE9B">
      <w:pPr>
        <w:jc w:val="center"/>
        <w:rPr>
          <w:rFonts w:eastAsia="仿宋"/>
          <w:b/>
          <w:sz w:val="28"/>
          <w:szCs w:val="28"/>
          <w:highlight w:val="none"/>
        </w:rPr>
      </w:pPr>
    </w:p>
    <w:p w14:paraId="11A0715B">
      <w:pPr>
        <w:jc w:val="center"/>
        <w:rPr>
          <w:rFonts w:eastAsia="仿宋"/>
          <w:b/>
          <w:sz w:val="28"/>
          <w:szCs w:val="28"/>
          <w:highlight w:val="none"/>
        </w:rPr>
      </w:pPr>
    </w:p>
    <w:p w14:paraId="6022C8B0">
      <w:pPr>
        <w:jc w:val="center"/>
        <w:rPr>
          <w:rFonts w:eastAsia="仿宋"/>
          <w:b/>
          <w:bCs/>
          <w:sz w:val="24"/>
          <w:szCs w:val="24"/>
          <w:highlight w:val="none"/>
        </w:rPr>
      </w:pPr>
      <w:r>
        <w:rPr>
          <w:rFonts w:eastAsia="仿宋"/>
          <w:b/>
          <w:sz w:val="28"/>
          <w:szCs w:val="28"/>
          <w:highlight w:val="none"/>
        </w:rPr>
        <w:t>采购需求一览表</w:t>
      </w:r>
    </w:p>
    <w:tbl>
      <w:tblPr>
        <w:tblStyle w:val="2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693"/>
        <w:gridCol w:w="1276"/>
        <w:gridCol w:w="1276"/>
        <w:gridCol w:w="1276"/>
        <w:gridCol w:w="1134"/>
        <w:gridCol w:w="708"/>
      </w:tblGrid>
      <w:tr w14:paraId="119B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09" w:type="dxa"/>
            <w:vAlign w:val="center"/>
          </w:tcPr>
          <w:p w14:paraId="623DF7F8">
            <w:pPr>
              <w:jc w:val="center"/>
              <w:rPr>
                <w:rFonts w:eastAsia="仿宋"/>
                <w:highlight w:val="none"/>
              </w:rPr>
            </w:pPr>
            <w:r>
              <w:rPr>
                <w:rFonts w:eastAsia="仿宋"/>
                <w:highlight w:val="none"/>
              </w:rPr>
              <w:t>序号</w:t>
            </w:r>
          </w:p>
        </w:tc>
        <w:tc>
          <w:tcPr>
            <w:tcW w:w="2693" w:type="dxa"/>
            <w:vAlign w:val="center"/>
          </w:tcPr>
          <w:p w14:paraId="3DF92AD7">
            <w:pPr>
              <w:jc w:val="center"/>
              <w:rPr>
                <w:rFonts w:eastAsia="仿宋"/>
                <w:highlight w:val="none"/>
              </w:rPr>
            </w:pPr>
            <w:r>
              <w:rPr>
                <w:rFonts w:eastAsia="仿宋"/>
                <w:highlight w:val="none"/>
              </w:rPr>
              <w:t>名称</w:t>
            </w:r>
          </w:p>
        </w:tc>
        <w:tc>
          <w:tcPr>
            <w:tcW w:w="1276" w:type="dxa"/>
            <w:vAlign w:val="center"/>
          </w:tcPr>
          <w:p w14:paraId="4466F181">
            <w:pPr>
              <w:jc w:val="center"/>
              <w:rPr>
                <w:rFonts w:eastAsia="仿宋"/>
                <w:highlight w:val="none"/>
              </w:rPr>
            </w:pPr>
            <w:r>
              <w:rPr>
                <w:rFonts w:eastAsia="仿宋"/>
                <w:highlight w:val="none"/>
              </w:rPr>
              <w:t>服务范围</w:t>
            </w:r>
          </w:p>
        </w:tc>
        <w:tc>
          <w:tcPr>
            <w:tcW w:w="1276" w:type="dxa"/>
            <w:vAlign w:val="center"/>
          </w:tcPr>
          <w:p w14:paraId="317A4986">
            <w:pPr>
              <w:jc w:val="center"/>
              <w:rPr>
                <w:rFonts w:eastAsia="仿宋"/>
                <w:highlight w:val="none"/>
              </w:rPr>
            </w:pPr>
            <w:r>
              <w:rPr>
                <w:rFonts w:eastAsia="仿宋"/>
                <w:highlight w:val="none"/>
              </w:rPr>
              <w:t>服务要求</w:t>
            </w:r>
          </w:p>
        </w:tc>
        <w:tc>
          <w:tcPr>
            <w:tcW w:w="1276" w:type="dxa"/>
            <w:vAlign w:val="center"/>
          </w:tcPr>
          <w:p w14:paraId="4664CCC6">
            <w:pPr>
              <w:jc w:val="center"/>
              <w:rPr>
                <w:rFonts w:eastAsia="仿宋"/>
                <w:highlight w:val="none"/>
              </w:rPr>
            </w:pPr>
            <w:r>
              <w:rPr>
                <w:rFonts w:eastAsia="仿宋"/>
                <w:highlight w:val="none"/>
              </w:rPr>
              <w:t>服务时间</w:t>
            </w:r>
          </w:p>
        </w:tc>
        <w:tc>
          <w:tcPr>
            <w:tcW w:w="1134" w:type="dxa"/>
            <w:vAlign w:val="center"/>
          </w:tcPr>
          <w:p w14:paraId="6201FFE4">
            <w:pPr>
              <w:jc w:val="center"/>
              <w:rPr>
                <w:rFonts w:eastAsia="仿宋"/>
                <w:highlight w:val="none"/>
              </w:rPr>
            </w:pPr>
            <w:r>
              <w:rPr>
                <w:rFonts w:eastAsia="仿宋"/>
                <w:highlight w:val="none"/>
              </w:rPr>
              <w:t>服务标准</w:t>
            </w:r>
          </w:p>
        </w:tc>
        <w:tc>
          <w:tcPr>
            <w:tcW w:w="708" w:type="dxa"/>
            <w:vAlign w:val="center"/>
          </w:tcPr>
          <w:p w14:paraId="747A38FA">
            <w:pPr>
              <w:jc w:val="center"/>
              <w:rPr>
                <w:rFonts w:eastAsia="仿宋"/>
                <w:highlight w:val="none"/>
              </w:rPr>
            </w:pPr>
            <w:r>
              <w:rPr>
                <w:rFonts w:eastAsia="仿宋"/>
                <w:highlight w:val="none"/>
              </w:rPr>
              <w:t>备注</w:t>
            </w:r>
          </w:p>
        </w:tc>
      </w:tr>
      <w:tr w14:paraId="4E61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709" w:type="dxa"/>
            <w:vAlign w:val="center"/>
          </w:tcPr>
          <w:p w14:paraId="240CC926">
            <w:pPr>
              <w:jc w:val="center"/>
              <w:rPr>
                <w:rFonts w:eastAsia="仿宋"/>
                <w:highlight w:val="none"/>
              </w:rPr>
            </w:pPr>
            <w:r>
              <w:rPr>
                <w:rFonts w:hint="eastAsia" w:eastAsia="仿宋"/>
                <w:highlight w:val="none"/>
              </w:rPr>
              <w:t>1</w:t>
            </w:r>
          </w:p>
        </w:tc>
        <w:tc>
          <w:tcPr>
            <w:tcW w:w="2693" w:type="dxa"/>
            <w:vAlign w:val="center"/>
          </w:tcPr>
          <w:p w14:paraId="6AE3421B">
            <w:pPr>
              <w:jc w:val="center"/>
              <w:rPr>
                <w:rFonts w:hint="eastAsia" w:eastAsia="仿宋"/>
                <w:highlight w:val="none"/>
                <w:lang w:eastAsia="zh-CN"/>
              </w:rPr>
            </w:pPr>
            <w:r>
              <w:rPr>
                <w:rFonts w:hint="eastAsia" w:eastAsia="仿宋"/>
                <w:highlight w:val="none"/>
                <w:lang w:eastAsia="zh-CN"/>
              </w:rPr>
              <w:t xml:space="preserve">芜湖市中西医结合医院（湾沚区总医院）电梯维保服务项目  </w:t>
            </w:r>
          </w:p>
        </w:tc>
        <w:tc>
          <w:tcPr>
            <w:tcW w:w="1276" w:type="dxa"/>
            <w:vAlign w:val="center"/>
          </w:tcPr>
          <w:p w14:paraId="0DB39600">
            <w:pPr>
              <w:jc w:val="center"/>
              <w:rPr>
                <w:rFonts w:eastAsia="仿宋"/>
                <w:highlight w:val="none"/>
              </w:rPr>
            </w:pPr>
            <w:r>
              <w:rPr>
                <w:rFonts w:hint="eastAsia" w:eastAsia="仿宋"/>
                <w:highlight w:val="none"/>
              </w:rPr>
              <w:t>详见采购需求说明</w:t>
            </w:r>
          </w:p>
        </w:tc>
        <w:tc>
          <w:tcPr>
            <w:tcW w:w="1276" w:type="dxa"/>
            <w:vAlign w:val="center"/>
          </w:tcPr>
          <w:p w14:paraId="5EBD6D23">
            <w:pPr>
              <w:jc w:val="center"/>
              <w:rPr>
                <w:rFonts w:eastAsia="仿宋"/>
                <w:highlight w:val="none"/>
              </w:rPr>
            </w:pPr>
            <w:r>
              <w:rPr>
                <w:rFonts w:hint="eastAsia" w:eastAsia="仿宋"/>
                <w:highlight w:val="none"/>
              </w:rPr>
              <w:t>满足采购人要求</w:t>
            </w:r>
          </w:p>
        </w:tc>
        <w:tc>
          <w:tcPr>
            <w:tcW w:w="1276" w:type="dxa"/>
            <w:vAlign w:val="center"/>
          </w:tcPr>
          <w:p w14:paraId="3368E9D4">
            <w:pPr>
              <w:jc w:val="center"/>
              <w:rPr>
                <w:rFonts w:eastAsia="仿宋"/>
                <w:highlight w:val="none"/>
              </w:rPr>
            </w:pPr>
            <w:r>
              <w:rPr>
                <w:rFonts w:hint="eastAsia" w:eastAsia="仿宋"/>
                <w:highlight w:val="none"/>
              </w:rPr>
              <w:t>满足采购人要求</w:t>
            </w:r>
          </w:p>
        </w:tc>
        <w:tc>
          <w:tcPr>
            <w:tcW w:w="1134" w:type="dxa"/>
            <w:vAlign w:val="center"/>
          </w:tcPr>
          <w:p w14:paraId="5C27698D">
            <w:pPr>
              <w:jc w:val="center"/>
              <w:rPr>
                <w:rFonts w:eastAsia="仿宋"/>
                <w:highlight w:val="none"/>
              </w:rPr>
            </w:pPr>
            <w:r>
              <w:rPr>
                <w:rFonts w:hint="eastAsia" w:eastAsia="仿宋"/>
                <w:highlight w:val="none"/>
              </w:rPr>
              <w:t>满足行业规范</w:t>
            </w:r>
          </w:p>
        </w:tc>
        <w:tc>
          <w:tcPr>
            <w:tcW w:w="708" w:type="dxa"/>
            <w:vAlign w:val="center"/>
          </w:tcPr>
          <w:p w14:paraId="2F997E52">
            <w:pPr>
              <w:jc w:val="center"/>
              <w:rPr>
                <w:rFonts w:eastAsia="仿宋"/>
                <w:highlight w:val="none"/>
              </w:rPr>
            </w:pPr>
          </w:p>
        </w:tc>
      </w:tr>
    </w:tbl>
    <w:p w14:paraId="2832D676">
      <w:pPr>
        <w:jc w:val="center"/>
        <w:rPr>
          <w:rFonts w:eastAsia="仿宋"/>
          <w:b/>
          <w:bCs/>
          <w:sz w:val="28"/>
          <w:highlight w:val="none"/>
        </w:rPr>
      </w:pPr>
      <w:bookmarkStart w:id="2" w:name="_Toc28535"/>
      <w:r>
        <w:rPr>
          <w:rFonts w:eastAsia="仿宋"/>
          <w:sz w:val="28"/>
          <w:highlight w:val="none"/>
        </w:rPr>
        <w:br w:type="page"/>
      </w:r>
      <w:bookmarkStart w:id="3" w:name="_Toc32439"/>
      <w:r>
        <w:rPr>
          <w:rFonts w:eastAsia="仿宋"/>
          <w:b/>
          <w:bCs/>
          <w:sz w:val="28"/>
          <w:highlight w:val="none"/>
        </w:rPr>
        <w:t>第五章  评审程序及评审方法和标准</w:t>
      </w:r>
      <w:bookmarkEnd w:id="2"/>
      <w:bookmarkEnd w:id="3"/>
    </w:p>
    <w:p w14:paraId="23D105FF">
      <w:pPr>
        <w:rPr>
          <w:rFonts w:eastAsia="仿宋"/>
          <w:b/>
          <w:sz w:val="24"/>
          <w:highlight w:val="none"/>
        </w:rPr>
      </w:pPr>
      <w:bookmarkStart w:id="4" w:name="_Toc5230"/>
      <w:bookmarkStart w:id="5" w:name="_Toc9442"/>
      <w:r>
        <w:rPr>
          <w:rFonts w:eastAsia="仿宋"/>
          <w:b/>
          <w:sz w:val="24"/>
          <w:highlight w:val="none"/>
        </w:rPr>
        <w:t>一、评审程序</w:t>
      </w:r>
      <w:bookmarkEnd w:id="4"/>
      <w:bookmarkEnd w:id="5"/>
    </w:p>
    <w:p w14:paraId="3A5BE26F">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1.响应文件审查</w:t>
      </w:r>
    </w:p>
    <w:p w14:paraId="4EA3D7F9">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磋商小组对供应商及其响应文件进行资格和符合性审查。</w:t>
      </w:r>
    </w:p>
    <w:p w14:paraId="49720879">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2.磋商及最后报价</w:t>
      </w:r>
    </w:p>
    <w:p w14:paraId="11C9187C">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2.1磋商小组集中与单一供应商分别进行磋商，并给予所有参加磋商的供应商平等的磋商机会。供应商对磋商小组提出的问题应当据实答复。</w:t>
      </w:r>
    </w:p>
    <w:p w14:paraId="1A2B5EA1">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2.2磋商结束后，磋商小组应当要求所有有效响应的供应商在规定时间内提交最后报价，提交最后报价的供应商不得少于3家。</w:t>
      </w:r>
    </w:p>
    <w:p w14:paraId="099B5D2A">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2.3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61AB29BF">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2.4最后报价是供应商响应文件的有效组成部分。</w:t>
      </w:r>
    </w:p>
    <w:p w14:paraId="3C69A48D">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2.5已提交响应文件的供应商，在提交最后报价之前，可以根据磋商情况退出磋商。</w:t>
      </w:r>
    </w:p>
    <w:p w14:paraId="104139EE">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3.综合评分</w:t>
      </w:r>
    </w:p>
    <w:p w14:paraId="70BA744F">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经磋商确定最终采购需求和提交最后报价的供应商后，由磋商小组采用综合评分法对提交最后报价的供应商的响应文件和最后报价进行综合评分。</w:t>
      </w:r>
    </w:p>
    <w:p w14:paraId="7323C58A">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评审时，磋商小组各成员应当独立对每个有效响应的文件进行评价、打分，然后汇总每个供应商每项评分因素的得分。</w:t>
      </w:r>
    </w:p>
    <w:p w14:paraId="38CA6BE9">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4.推荐成交候选供应商</w:t>
      </w:r>
    </w:p>
    <w:p w14:paraId="7E7681EE">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4.1磋商小组应当根据综合评分情况，按照评审得分由高到低顺序推荐3名成交候选供应商，并编写评审报告。</w:t>
      </w:r>
    </w:p>
    <w:p w14:paraId="0275DB8E">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4.2符合上述2.3款情形的，可以推荐2家成交候选供应商。</w:t>
      </w:r>
    </w:p>
    <w:p w14:paraId="600CED4D">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4.3评审得分相同的，按照最后报价由低到高的顺序推荐。评审得分且最后报价相同的，按照技术指标优劣顺序推荐。</w:t>
      </w:r>
    </w:p>
    <w:p w14:paraId="4C4360A3">
      <w:pPr>
        <w:rPr>
          <w:rFonts w:eastAsia="仿宋"/>
          <w:b/>
          <w:sz w:val="24"/>
          <w:highlight w:val="none"/>
        </w:rPr>
      </w:pPr>
      <w:bookmarkStart w:id="6" w:name="_Toc1118"/>
      <w:bookmarkStart w:id="7" w:name="_Toc26031"/>
      <w:r>
        <w:rPr>
          <w:rFonts w:eastAsia="仿宋"/>
          <w:b/>
          <w:sz w:val="24"/>
          <w:highlight w:val="none"/>
        </w:rPr>
        <w:t>二、评审方法和标准</w:t>
      </w:r>
      <w:bookmarkEnd w:id="6"/>
      <w:bookmarkEnd w:id="7"/>
    </w:p>
    <w:p w14:paraId="53D6B5AD">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1.资格审查</w:t>
      </w:r>
    </w:p>
    <w:p w14:paraId="4C5DDD13">
      <w:pPr>
        <w:wordWrap w:val="0"/>
        <w:topLinePunct/>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磋商小组对供应商的资格进行审查。当发现供应商或其响应文件存在下列情况之一时，将判定供应商的资格不符合要求，资格审查不通过。</w:t>
      </w:r>
    </w:p>
    <w:tbl>
      <w:tblPr>
        <w:tblStyle w:val="23"/>
        <w:tblW w:w="10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1864"/>
        <w:gridCol w:w="6911"/>
      </w:tblGrid>
      <w:tr w14:paraId="4159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4" w:type="dxa"/>
            <w:gridSpan w:val="2"/>
            <w:vAlign w:val="center"/>
          </w:tcPr>
          <w:p w14:paraId="6AC407ED">
            <w:pPr>
              <w:wordWrap w:val="0"/>
              <w:topLinePunct/>
              <w:jc w:val="center"/>
              <w:rPr>
                <w:rFonts w:ascii="仿宋" w:hAnsi="仿宋" w:eastAsia="仿宋" w:cs="仿宋"/>
                <w:highlight w:val="none"/>
              </w:rPr>
            </w:pPr>
            <w:r>
              <w:rPr>
                <w:rFonts w:hint="eastAsia" w:ascii="仿宋" w:hAnsi="仿宋" w:eastAsia="仿宋" w:cs="仿宋"/>
                <w:highlight w:val="none"/>
              </w:rPr>
              <w:t>审查内容</w:t>
            </w:r>
          </w:p>
        </w:tc>
        <w:tc>
          <w:tcPr>
            <w:tcW w:w="6911" w:type="dxa"/>
            <w:vAlign w:val="center"/>
          </w:tcPr>
          <w:p w14:paraId="5DCB7070">
            <w:pPr>
              <w:wordWrap w:val="0"/>
              <w:topLinePunct/>
              <w:jc w:val="center"/>
              <w:rPr>
                <w:rFonts w:ascii="仿宋" w:hAnsi="仿宋" w:eastAsia="仿宋" w:cs="仿宋"/>
                <w:highlight w:val="none"/>
              </w:rPr>
            </w:pPr>
            <w:r>
              <w:rPr>
                <w:rFonts w:hint="eastAsia" w:ascii="仿宋" w:hAnsi="仿宋" w:eastAsia="仿宋" w:cs="仿宋"/>
                <w:highlight w:val="none"/>
              </w:rPr>
              <w:t>审查标准</w:t>
            </w:r>
          </w:p>
        </w:tc>
      </w:tr>
      <w:tr w14:paraId="364A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0" w:type="dxa"/>
            <w:vMerge w:val="restart"/>
            <w:vAlign w:val="center"/>
          </w:tcPr>
          <w:p w14:paraId="6E46D5A5">
            <w:pPr>
              <w:wordWrap w:val="0"/>
              <w:topLinePunct/>
              <w:jc w:val="center"/>
              <w:rPr>
                <w:rFonts w:ascii="仿宋" w:hAnsi="仿宋" w:eastAsia="仿宋" w:cs="仿宋"/>
                <w:highlight w:val="none"/>
              </w:rPr>
            </w:pPr>
            <w:r>
              <w:rPr>
                <w:rFonts w:hint="eastAsia" w:ascii="仿宋" w:hAnsi="仿宋" w:eastAsia="仿宋" w:cs="仿宋"/>
                <w:highlight w:val="none"/>
              </w:rPr>
              <w:t>资格审查</w:t>
            </w:r>
          </w:p>
        </w:tc>
        <w:tc>
          <w:tcPr>
            <w:tcW w:w="1864" w:type="dxa"/>
            <w:vAlign w:val="center"/>
          </w:tcPr>
          <w:p w14:paraId="03D01D18">
            <w:pPr>
              <w:jc w:val="center"/>
              <w:rPr>
                <w:rFonts w:ascii="仿宋" w:hAnsi="仿宋" w:eastAsia="仿宋" w:cs="仿宋"/>
                <w:highlight w:val="none"/>
              </w:rPr>
            </w:pPr>
            <w:r>
              <w:rPr>
                <w:rFonts w:hint="eastAsia" w:ascii="仿宋" w:hAnsi="仿宋" w:eastAsia="仿宋" w:cs="仿宋"/>
                <w:highlight w:val="none"/>
              </w:rPr>
              <w:t>营业执照</w:t>
            </w:r>
          </w:p>
        </w:tc>
        <w:tc>
          <w:tcPr>
            <w:tcW w:w="6911" w:type="dxa"/>
            <w:vAlign w:val="center"/>
          </w:tcPr>
          <w:p w14:paraId="44254DCC">
            <w:pPr>
              <w:tabs>
                <w:tab w:val="center" w:pos="2378"/>
              </w:tabs>
              <w:jc w:val="left"/>
              <w:rPr>
                <w:rFonts w:ascii="仿宋" w:hAnsi="仿宋" w:eastAsia="仿宋" w:cs="仿宋"/>
                <w:highlight w:val="none"/>
              </w:rPr>
            </w:pPr>
            <w:r>
              <w:rPr>
                <w:rFonts w:hint="eastAsia" w:ascii="仿宋" w:hAnsi="仿宋" w:eastAsia="仿宋" w:cs="仿宋"/>
                <w:highlight w:val="none"/>
              </w:rPr>
              <w:t>未按采购文件要求提供有效的资格信用承诺函又未提供营业执照</w:t>
            </w:r>
          </w:p>
        </w:tc>
      </w:tr>
      <w:tr w14:paraId="27D3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0" w:type="dxa"/>
            <w:vMerge w:val="continue"/>
            <w:vAlign w:val="center"/>
          </w:tcPr>
          <w:p w14:paraId="567CFC2D">
            <w:pPr>
              <w:wordWrap w:val="0"/>
              <w:topLinePunct/>
              <w:ind w:firstLine="630" w:firstLineChars="300"/>
              <w:jc w:val="center"/>
              <w:rPr>
                <w:rFonts w:ascii="仿宋" w:hAnsi="仿宋" w:eastAsia="仿宋" w:cs="仿宋"/>
                <w:highlight w:val="none"/>
              </w:rPr>
            </w:pPr>
          </w:p>
        </w:tc>
        <w:tc>
          <w:tcPr>
            <w:tcW w:w="1864" w:type="dxa"/>
            <w:vAlign w:val="center"/>
          </w:tcPr>
          <w:p w14:paraId="772E2FB4">
            <w:pPr>
              <w:wordWrap w:val="0"/>
              <w:topLinePunct/>
              <w:jc w:val="center"/>
              <w:rPr>
                <w:rFonts w:ascii="仿宋" w:hAnsi="仿宋" w:eastAsia="仿宋" w:cs="仿宋"/>
                <w:highlight w:val="none"/>
              </w:rPr>
            </w:pPr>
            <w:r>
              <w:rPr>
                <w:rFonts w:hint="eastAsia" w:ascii="仿宋" w:hAnsi="仿宋" w:eastAsia="仿宋" w:cs="仿宋"/>
                <w:highlight w:val="none"/>
              </w:rPr>
              <w:t>资格条件</w:t>
            </w:r>
          </w:p>
        </w:tc>
        <w:tc>
          <w:tcPr>
            <w:tcW w:w="6911" w:type="dxa"/>
            <w:vAlign w:val="center"/>
          </w:tcPr>
          <w:p w14:paraId="6D4DCA9E">
            <w:pPr>
              <w:wordWrap w:val="0"/>
              <w:topLinePunct/>
              <w:jc w:val="left"/>
              <w:rPr>
                <w:rFonts w:ascii="仿宋" w:hAnsi="仿宋" w:eastAsia="仿宋" w:cs="仿宋"/>
                <w:highlight w:val="none"/>
              </w:rPr>
            </w:pPr>
            <w:r>
              <w:rPr>
                <w:rFonts w:hint="eastAsia" w:ascii="仿宋" w:hAnsi="仿宋" w:eastAsia="仿宋" w:cs="仿宋"/>
                <w:highlight w:val="none"/>
              </w:rPr>
              <w:t>不符合磋商文件要求</w:t>
            </w:r>
          </w:p>
        </w:tc>
      </w:tr>
      <w:tr w14:paraId="7AC1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0" w:type="dxa"/>
            <w:vMerge w:val="continue"/>
            <w:vAlign w:val="center"/>
          </w:tcPr>
          <w:p w14:paraId="4B84722C">
            <w:pPr>
              <w:wordWrap w:val="0"/>
              <w:topLinePunct/>
              <w:ind w:firstLine="630" w:firstLineChars="300"/>
              <w:jc w:val="center"/>
              <w:rPr>
                <w:rFonts w:ascii="仿宋" w:hAnsi="仿宋" w:eastAsia="仿宋" w:cs="仿宋"/>
                <w:highlight w:val="none"/>
              </w:rPr>
            </w:pPr>
          </w:p>
        </w:tc>
        <w:tc>
          <w:tcPr>
            <w:tcW w:w="1864" w:type="dxa"/>
            <w:vAlign w:val="center"/>
          </w:tcPr>
          <w:p w14:paraId="614A5121">
            <w:pPr>
              <w:wordWrap w:val="0"/>
              <w:topLinePunct/>
              <w:jc w:val="center"/>
              <w:rPr>
                <w:rFonts w:ascii="仿宋" w:hAnsi="仿宋" w:eastAsia="仿宋" w:cs="仿宋"/>
                <w:highlight w:val="none"/>
              </w:rPr>
            </w:pPr>
            <w:r>
              <w:rPr>
                <w:rFonts w:hint="eastAsia" w:ascii="仿宋" w:hAnsi="仿宋" w:eastAsia="仿宋" w:cs="仿宋"/>
                <w:highlight w:val="none"/>
              </w:rPr>
              <w:t>法定代表人或授权委托人资格</w:t>
            </w:r>
          </w:p>
        </w:tc>
        <w:tc>
          <w:tcPr>
            <w:tcW w:w="6911" w:type="dxa"/>
            <w:vAlign w:val="center"/>
          </w:tcPr>
          <w:p w14:paraId="72CA912E">
            <w:pPr>
              <w:wordWrap w:val="0"/>
              <w:topLinePunct/>
              <w:jc w:val="left"/>
              <w:rPr>
                <w:rFonts w:ascii="仿宋" w:hAnsi="仿宋" w:eastAsia="仿宋" w:cs="仿宋"/>
                <w:highlight w:val="none"/>
              </w:rPr>
            </w:pPr>
            <w:r>
              <w:rPr>
                <w:rFonts w:hint="eastAsia" w:ascii="仿宋" w:hAnsi="仿宋" w:eastAsia="仿宋" w:cs="仿宋"/>
                <w:highlight w:val="none"/>
              </w:rPr>
              <w:t>不符合磋商文件要求</w:t>
            </w:r>
          </w:p>
        </w:tc>
      </w:tr>
      <w:tr w14:paraId="4078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0" w:type="dxa"/>
            <w:vMerge w:val="continue"/>
            <w:vAlign w:val="center"/>
          </w:tcPr>
          <w:p w14:paraId="7F97A962">
            <w:pPr>
              <w:wordWrap w:val="0"/>
              <w:topLinePunct/>
              <w:ind w:firstLine="630" w:firstLineChars="300"/>
              <w:jc w:val="center"/>
              <w:rPr>
                <w:rFonts w:ascii="仿宋" w:hAnsi="仿宋" w:eastAsia="仿宋" w:cs="仿宋"/>
                <w:highlight w:val="none"/>
              </w:rPr>
            </w:pPr>
          </w:p>
        </w:tc>
        <w:tc>
          <w:tcPr>
            <w:tcW w:w="1864" w:type="dxa"/>
            <w:vAlign w:val="center"/>
          </w:tcPr>
          <w:p w14:paraId="6215630A">
            <w:pPr>
              <w:wordWrap w:val="0"/>
              <w:topLinePunct/>
              <w:jc w:val="center"/>
              <w:rPr>
                <w:rFonts w:ascii="仿宋" w:hAnsi="仿宋" w:eastAsia="仿宋" w:cs="仿宋"/>
                <w:highlight w:val="none"/>
              </w:rPr>
            </w:pPr>
            <w:r>
              <w:rPr>
                <w:rFonts w:hint="eastAsia" w:ascii="仿宋" w:hAnsi="仿宋" w:eastAsia="仿宋" w:cs="仿宋"/>
                <w:highlight w:val="none"/>
              </w:rPr>
              <w:t>其他</w:t>
            </w:r>
          </w:p>
        </w:tc>
        <w:tc>
          <w:tcPr>
            <w:tcW w:w="6911" w:type="dxa"/>
            <w:vAlign w:val="center"/>
          </w:tcPr>
          <w:p w14:paraId="33803CDA">
            <w:pPr>
              <w:wordWrap w:val="0"/>
              <w:topLinePunct/>
              <w:jc w:val="left"/>
              <w:rPr>
                <w:rFonts w:ascii="仿宋" w:hAnsi="仿宋" w:eastAsia="仿宋" w:cs="仿宋"/>
                <w:highlight w:val="none"/>
              </w:rPr>
            </w:pPr>
            <w:r>
              <w:rPr>
                <w:rFonts w:hint="eastAsia" w:ascii="仿宋" w:hAnsi="仿宋" w:eastAsia="仿宋" w:cs="仿宋"/>
                <w:highlight w:val="none"/>
              </w:rPr>
              <w:t>供应商被行政监督部门作出禁止参与政府采购活动处罚且在有效期内的，或其他违反法律法规和磋商文件规定的应该按无效响应处理的情形</w:t>
            </w:r>
          </w:p>
        </w:tc>
      </w:tr>
    </w:tbl>
    <w:p w14:paraId="166978B0">
      <w:pPr>
        <w:wordWrap w:val="0"/>
        <w:topLinePunct/>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2.符合性审查</w:t>
      </w:r>
    </w:p>
    <w:p w14:paraId="36AE4182">
      <w:pPr>
        <w:wordWrap w:val="0"/>
        <w:topLinePunct/>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磋商小组对通过资格审查的供应商的响应文件进行符合性审查， 以确定其是否满足磋商文件的实质性要求。当发现供应商或其响应文件存在下列情况之一时，将判定供应商的响应无效，响应文件符合性审查不通过。</w:t>
      </w:r>
    </w:p>
    <w:tbl>
      <w:tblPr>
        <w:tblStyle w:val="23"/>
        <w:tblW w:w="9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1909"/>
        <w:gridCol w:w="6881"/>
      </w:tblGrid>
      <w:tr w14:paraId="21B1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14" w:type="dxa"/>
            <w:gridSpan w:val="2"/>
            <w:vAlign w:val="center"/>
          </w:tcPr>
          <w:p w14:paraId="51D3537E">
            <w:pPr>
              <w:wordWrap w:val="0"/>
              <w:topLinePunct/>
              <w:jc w:val="center"/>
              <w:rPr>
                <w:rFonts w:ascii="仿宋" w:hAnsi="仿宋" w:eastAsia="仿宋" w:cs="仿宋"/>
                <w:highlight w:val="none"/>
              </w:rPr>
            </w:pPr>
            <w:r>
              <w:rPr>
                <w:rFonts w:hint="eastAsia" w:ascii="仿宋" w:hAnsi="仿宋" w:eastAsia="仿宋" w:cs="仿宋"/>
                <w:highlight w:val="none"/>
              </w:rPr>
              <w:t>审查内容</w:t>
            </w:r>
          </w:p>
        </w:tc>
        <w:tc>
          <w:tcPr>
            <w:tcW w:w="6881" w:type="dxa"/>
            <w:vAlign w:val="center"/>
          </w:tcPr>
          <w:p w14:paraId="64E244DC">
            <w:pPr>
              <w:wordWrap w:val="0"/>
              <w:topLinePunct/>
              <w:jc w:val="center"/>
              <w:rPr>
                <w:rFonts w:ascii="仿宋" w:hAnsi="仿宋" w:eastAsia="仿宋" w:cs="仿宋"/>
                <w:highlight w:val="none"/>
              </w:rPr>
            </w:pPr>
            <w:r>
              <w:rPr>
                <w:rFonts w:hint="eastAsia" w:ascii="仿宋" w:hAnsi="仿宋" w:eastAsia="仿宋" w:cs="仿宋"/>
                <w:highlight w:val="none"/>
              </w:rPr>
              <w:t>审查标准</w:t>
            </w:r>
          </w:p>
        </w:tc>
      </w:tr>
      <w:tr w14:paraId="6D51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restart"/>
            <w:vAlign w:val="center"/>
          </w:tcPr>
          <w:p w14:paraId="7A1C4678">
            <w:pPr>
              <w:wordWrap w:val="0"/>
              <w:topLinePunct/>
              <w:jc w:val="center"/>
              <w:rPr>
                <w:rFonts w:ascii="仿宋" w:hAnsi="仿宋" w:eastAsia="仿宋" w:cs="仿宋"/>
                <w:highlight w:val="none"/>
              </w:rPr>
            </w:pPr>
            <w:r>
              <w:rPr>
                <w:rFonts w:hint="eastAsia" w:ascii="仿宋" w:hAnsi="仿宋" w:eastAsia="仿宋" w:cs="仿宋"/>
                <w:highlight w:val="none"/>
              </w:rPr>
              <w:t>符合性审查</w:t>
            </w:r>
          </w:p>
        </w:tc>
        <w:tc>
          <w:tcPr>
            <w:tcW w:w="1909" w:type="dxa"/>
            <w:vAlign w:val="center"/>
          </w:tcPr>
          <w:p w14:paraId="2BD7ADB6">
            <w:pPr>
              <w:wordWrap w:val="0"/>
              <w:topLinePunct/>
              <w:jc w:val="center"/>
              <w:rPr>
                <w:rFonts w:ascii="仿宋" w:hAnsi="仿宋" w:eastAsia="仿宋" w:cs="仿宋"/>
                <w:highlight w:val="none"/>
              </w:rPr>
            </w:pPr>
            <w:r>
              <w:rPr>
                <w:rFonts w:hint="eastAsia" w:ascii="仿宋" w:hAnsi="仿宋" w:eastAsia="仿宋" w:cs="仿宋"/>
                <w:highlight w:val="none"/>
              </w:rPr>
              <w:t>供应商名称</w:t>
            </w:r>
          </w:p>
        </w:tc>
        <w:tc>
          <w:tcPr>
            <w:tcW w:w="6881" w:type="dxa"/>
            <w:vAlign w:val="center"/>
          </w:tcPr>
          <w:p w14:paraId="68641EE8">
            <w:pPr>
              <w:wordWrap w:val="0"/>
              <w:topLinePunct/>
              <w:jc w:val="left"/>
              <w:rPr>
                <w:rFonts w:ascii="仿宋" w:hAnsi="仿宋" w:eastAsia="仿宋" w:cs="仿宋"/>
                <w:highlight w:val="none"/>
              </w:rPr>
            </w:pPr>
            <w:r>
              <w:rPr>
                <w:rFonts w:hint="eastAsia" w:ascii="仿宋" w:hAnsi="仿宋" w:eastAsia="仿宋" w:cs="仿宋"/>
                <w:highlight w:val="none"/>
              </w:rPr>
              <w:t>与营业执照、资质证书等不一致</w:t>
            </w:r>
          </w:p>
        </w:tc>
      </w:tr>
      <w:tr w14:paraId="0512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continue"/>
            <w:vAlign w:val="center"/>
          </w:tcPr>
          <w:p w14:paraId="124C1679">
            <w:pPr>
              <w:wordWrap w:val="0"/>
              <w:topLinePunct/>
              <w:ind w:firstLine="630" w:firstLineChars="300"/>
              <w:jc w:val="center"/>
              <w:rPr>
                <w:rFonts w:ascii="仿宋" w:hAnsi="仿宋" w:eastAsia="仿宋" w:cs="仿宋"/>
                <w:highlight w:val="none"/>
              </w:rPr>
            </w:pPr>
          </w:p>
        </w:tc>
        <w:tc>
          <w:tcPr>
            <w:tcW w:w="1909" w:type="dxa"/>
            <w:vAlign w:val="center"/>
          </w:tcPr>
          <w:p w14:paraId="1D827D1D">
            <w:pPr>
              <w:wordWrap w:val="0"/>
              <w:topLinePunct/>
              <w:jc w:val="center"/>
              <w:rPr>
                <w:rFonts w:ascii="仿宋" w:hAnsi="仿宋" w:eastAsia="仿宋" w:cs="仿宋"/>
                <w:highlight w:val="none"/>
              </w:rPr>
            </w:pPr>
            <w:r>
              <w:rPr>
                <w:rFonts w:hint="eastAsia" w:ascii="仿宋" w:hAnsi="仿宋" w:eastAsia="仿宋" w:cs="仿宋"/>
                <w:highlight w:val="none"/>
              </w:rPr>
              <w:t>响应文件盖章</w:t>
            </w:r>
          </w:p>
        </w:tc>
        <w:tc>
          <w:tcPr>
            <w:tcW w:w="6881" w:type="dxa"/>
            <w:vAlign w:val="center"/>
          </w:tcPr>
          <w:p w14:paraId="6A0503A8">
            <w:pPr>
              <w:wordWrap w:val="0"/>
              <w:topLinePunct/>
              <w:jc w:val="left"/>
              <w:rPr>
                <w:rFonts w:ascii="仿宋" w:hAnsi="仿宋" w:eastAsia="仿宋" w:cs="仿宋"/>
                <w:highlight w:val="none"/>
              </w:rPr>
            </w:pPr>
            <w:r>
              <w:rPr>
                <w:rFonts w:hint="eastAsia" w:ascii="仿宋" w:hAnsi="仿宋" w:eastAsia="仿宋" w:cs="仿宋"/>
                <w:highlight w:val="none"/>
              </w:rPr>
              <w:t>未按磋商文件要求加盖公章</w:t>
            </w:r>
          </w:p>
        </w:tc>
      </w:tr>
      <w:tr w14:paraId="5535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continue"/>
            <w:vAlign w:val="center"/>
          </w:tcPr>
          <w:p w14:paraId="1F1E1ED3">
            <w:pPr>
              <w:wordWrap w:val="0"/>
              <w:topLinePunct/>
              <w:ind w:firstLine="630" w:firstLineChars="300"/>
              <w:jc w:val="center"/>
              <w:rPr>
                <w:rFonts w:ascii="仿宋" w:hAnsi="仿宋" w:eastAsia="仿宋" w:cs="仿宋"/>
                <w:highlight w:val="none"/>
              </w:rPr>
            </w:pPr>
          </w:p>
        </w:tc>
        <w:tc>
          <w:tcPr>
            <w:tcW w:w="1909" w:type="dxa"/>
            <w:vAlign w:val="center"/>
          </w:tcPr>
          <w:p w14:paraId="4B1546AA">
            <w:pPr>
              <w:wordWrap w:val="0"/>
              <w:topLinePunct/>
              <w:jc w:val="center"/>
              <w:rPr>
                <w:rFonts w:ascii="仿宋" w:hAnsi="仿宋" w:eastAsia="仿宋" w:cs="仿宋"/>
                <w:highlight w:val="none"/>
              </w:rPr>
            </w:pPr>
            <w:r>
              <w:rPr>
                <w:rFonts w:hint="eastAsia" w:ascii="仿宋" w:hAnsi="仿宋" w:eastAsia="仿宋" w:cs="仿宋"/>
                <w:highlight w:val="none"/>
              </w:rPr>
              <w:t>响应文件签署</w:t>
            </w:r>
          </w:p>
        </w:tc>
        <w:tc>
          <w:tcPr>
            <w:tcW w:w="6881" w:type="dxa"/>
            <w:vAlign w:val="center"/>
          </w:tcPr>
          <w:p w14:paraId="7E2C00B4">
            <w:pPr>
              <w:wordWrap w:val="0"/>
              <w:topLinePunct/>
              <w:jc w:val="left"/>
              <w:rPr>
                <w:rFonts w:ascii="仿宋" w:hAnsi="仿宋" w:eastAsia="仿宋" w:cs="仿宋"/>
                <w:highlight w:val="none"/>
              </w:rPr>
            </w:pPr>
            <w:r>
              <w:rPr>
                <w:rFonts w:hint="eastAsia" w:ascii="仿宋" w:hAnsi="仿宋" w:eastAsia="仿宋" w:cs="仿宋"/>
                <w:highlight w:val="none"/>
              </w:rPr>
              <w:t>未按磋商文件要求进行签字（或盖章）</w:t>
            </w:r>
          </w:p>
        </w:tc>
      </w:tr>
      <w:tr w14:paraId="506E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continue"/>
            <w:vAlign w:val="center"/>
          </w:tcPr>
          <w:p w14:paraId="20DE03D7">
            <w:pPr>
              <w:wordWrap w:val="0"/>
              <w:topLinePunct/>
              <w:ind w:firstLine="630" w:firstLineChars="300"/>
              <w:jc w:val="center"/>
              <w:rPr>
                <w:rFonts w:ascii="仿宋" w:hAnsi="仿宋" w:eastAsia="仿宋" w:cs="仿宋"/>
                <w:highlight w:val="none"/>
              </w:rPr>
            </w:pPr>
          </w:p>
        </w:tc>
        <w:tc>
          <w:tcPr>
            <w:tcW w:w="1909" w:type="dxa"/>
            <w:vAlign w:val="center"/>
          </w:tcPr>
          <w:p w14:paraId="3944BEFA">
            <w:pPr>
              <w:wordWrap w:val="0"/>
              <w:topLinePunct/>
              <w:jc w:val="center"/>
              <w:rPr>
                <w:rFonts w:ascii="仿宋" w:hAnsi="仿宋" w:eastAsia="仿宋" w:cs="仿宋"/>
                <w:highlight w:val="none"/>
              </w:rPr>
            </w:pPr>
            <w:r>
              <w:rPr>
                <w:rFonts w:hint="eastAsia" w:ascii="仿宋" w:hAnsi="仿宋" w:eastAsia="仿宋" w:cs="仿宋"/>
                <w:highlight w:val="none"/>
              </w:rPr>
              <w:t>响应文件格式</w:t>
            </w:r>
          </w:p>
        </w:tc>
        <w:tc>
          <w:tcPr>
            <w:tcW w:w="6881" w:type="dxa"/>
            <w:vAlign w:val="center"/>
          </w:tcPr>
          <w:p w14:paraId="05954A02">
            <w:pPr>
              <w:wordWrap w:val="0"/>
              <w:topLinePunct/>
              <w:jc w:val="left"/>
              <w:rPr>
                <w:rFonts w:ascii="仿宋" w:hAnsi="仿宋" w:eastAsia="仿宋" w:cs="仿宋"/>
                <w:highlight w:val="none"/>
              </w:rPr>
            </w:pPr>
            <w:r>
              <w:rPr>
                <w:rFonts w:hint="eastAsia" w:ascii="仿宋" w:hAnsi="仿宋" w:eastAsia="仿宋" w:cs="仿宋"/>
                <w:highlight w:val="none"/>
              </w:rPr>
              <w:t>未按规定格式填写，实质性内容不全或关键字迹模糊、无法辨认</w:t>
            </w:r>
          </w:p>
        </w:tc>
      </w:tr>
      <w:tr w14:paraId="23AE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continue"/>
            <w:vAlign w:val="center"/>
          </w:tcPr>
          <w:p w14:paraId="161CE4EB">
            <w:pPr>
              <w:wordWrap w:val="0"/>
              <w:topLinePunct/>
              <w:ind w:firstLine="630" w:firstLineChars="300"/>
              <w:jc w:val="center"/>
              <w:rPr>
                <w:rFonts w:ascii="仿宋" w:hAnsi="仿宋" w:eastAsia="仿宋" w:cs="仿宋"/>
                <w:highlight w:val="none"/>
              </w:rPr>
            </w:pPr>
          </w:p>
        </w:tc>
        <w:tc>
          <w:tcPr>
            <w:tcW w:w="1909" w:type="dxa"/>
            <w:vAlign w:val="center"/>
          </w:tcPr>
          <w:p w14:paraId="5395A7E8">
            <w:pPr>
              <w:wordWrap w:val="0"/>
              <w:topLinePunct/>
              <w:jc w:val="center"/>
              <w:rPr>
                <w:rFonts w:ascii="仿宋" w:hAnsi="仿宋" w:eastAsia="仿宋" w:cs="仿宋"/>
                <w:highlight w:val="none"/>
              </w:rPr>
            </w:pPr>
            <w:r>
              <w:rPr>
                <w:rFonts w:hint="eastAsia" w:ascii="仿宋" w:hAnsi="仿宋" w:eastAsia="仿宋" w:cs="仿宋"/>
                <w:highlight w:val="none"/>
              </w:rPr>
              <w:t>响应报价</w:t>
            </w:r>
          </w:p>
        </w:tc>
        <w:tc>
          <w:tcPr>
            <w:tcW w:w="6881" w:type="dxa"/>
            <w:vAlign w:val="center"/>
          </w:tcPr>
          <w:p w14:paraId="094C1349">
            <w:pPr>
              <w:wordWrap w:val="0"/>
              <w:topLinePunct/>
              <w:jc w:val="left"/>
              <w:rPr>
                <w:rFonts w:ascii="仿宋" w:hAnsi="仿宋" w:eastAsia="仿宋" w:cs="仿宋"/>
                <w:highlight w:val="none"/>
              </w:rPr>
            </w:pPr>
            <w:r>
              <w:rPr>
                <w:rFonts w:hint="eastAsia" w:ascii="仿宋" w:hAnsi="仿宋" w:eastAsia="仿宋" w:cs="仿宋"/>
                <w:highlight w:val="none"/>
              </w:rPr>
              <w:t>报价超过磋商文件中规定的预算金额或者最高限价</w:t>
            </w:r>
          </w:p>
        </w:tc>
      </w:tr>
      <w:tr w14:paraId="2564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continue"/>
            <w:vAlign w:val="center"/>
          </w:tcPr>
          <w:p w14:paraId="6C8EA13A">
            <w:pPr>
              <w:wordWrap w:val="0"/>
              <w:topLinePunct/>
              <w:ind w:firstLine="630" w:firstLineChars="300"/>
              <w:jc w:val="center"/>
              <w:rPr>
                <w:rFonts w:ascii="仿宋" w:hAnsi="仿宋" w:eastAsia="仿宋" w:cs="仿宋"/>
                <w:highlight w:val="none"/>
              </w:rPr>
            </w:pPr>
          </w:p>
        </w:tc>
        <w:tc>
          <w:tcPr>
            <w:tcW w:w="1909" w:type="dxa"/>
            <w:vAlign w:val="center"/>
          </w:tcPr>
          <w:p w14:paraId="68E0AF3A">
            <w:pPr>
              <w:wordWrap w:val="0"/>
              <w:topLinePunct/>
              <w:jc w:val="center"/>
              <w:rPr>
                <w:rFonts w:ascii="仿宋" w:hAnsi="仿宋" w:eastAsia="仿宋" w:cs="仿宋"/>
                <w:highlight w:val="none"/>
              </w:rPr>
            </w:pPr>
            <w:r>
              <w:rPr>
                <w:rFonts w:hint="eastAsia" w:ascii="仿宋" w:hAnsi="仿宋" w:eastAsia="仿宋" w:cs="仿宋"/>
                <w:highlight w:val="none"/>
              </w:rPr>
              <w:t>响应文件有效期</w:t>
            </w:r>
          </w:p>
        </w:tc>
        <w:tc>
          <w:tcPr>
            <w:tcW w:w="6881" w:type="dxa"/>
            <w:vAlign w:val="center"/>
          </w:tcPr>
          <w:p w14:paraId="2A14A933">
            <w:pPr>
              <w:wordWrap w:val="0"/>
              <w:topLinePunct/>
              <w:jc w:val="left"/>
              <w:rPr>
                <w:rFonts w:ascii="仿宋" w:hAnsi="仿宋" w:eastAsia="仿宋" w:cs="仿宋"/>
                <w:highlight w:val="none"/>
              </w:rPr>
            </w:pPr>
            <w:r>
              <w:rPr>
                <w:rFonts w:hint="eastAsia" w:ascii="仿宋" w:hAnsi="仿宋" w:eastAsia="仿宋" w:cs="仿宋"/>
                <w:highlight w:val="none"/>
              </w:rPr>
              <w:t>不符合磋商文件的要求</w:t>
            </w:r>
          </w:p>
        </w:tc>
      </w:tr>
      <w:tr w14:paraId="41A2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continue"/>
            <w:vAlign w:val="center"/>
          </w:tcPr>
          <w:p w14:paraId="1E87D6C8">
            <w:pPr>
              <w:wordWrap w:val="0"/>
              <w:topLinePunct/>
              <w:ind w:firstLine="630" w:firstLineChars="300"/>
              <w:jc w:val="center"/>
              <w:rPr>
                <w:rFonts w:ascii="仿宋" w:hAnsi="仿宋" w:eastAsia="仿宋" w:cs="仿宋"/>
                <w:highlight w:val="none"/>
              </w:rPr>
            </w:pPr>
          </w:p>
        </w:tc>
        <w:tc>
          <w:tcPr>
            <w:tcW w:w="1909" w:type="dxa"/>
            <w:vAlign w:val="center"/>
          </w:tcPr>
          <w:p w14:paraId="05913D20">
            <w:pPr>
              <w:wordWrap w:val="0"/>
              <w:topLinePunct/>
              <w:jc w:val="center"/>
              <w:rPr>
                <w:rFonts w:ascii="仿宋" w:hAnsi="仿宋" w:eastAsia="仿宋" w:cs="仿宋"/>
                <w:highlight w:val="none"/>
              </w:rPr>
            </w:pPr>
            <w:r>
              <w:rPr>
                <w:rFonts w:hint="eastAsia" w:ascii="仿宋" w:hAnsi="仿宋" w:eastAsia="仿宋" w:cs="仿宋"/>
                <w:highlight w:val="none"/>
              </w:rPr>
              <w:t>服务时间、地点或付款方式</w:t>
            </w:r>
          </w:p>
        </w:tc>
        <w:tc>
          <w:tcPr>
            <w:tcW w:w="6881" w:type="dxa"/>
            <w:vAlign w:val="center"/>
          </w:tcPr>
          <w:p w14:paraId="0990D377">
            <w:pPr>
              <w:wordWrap w:val="0"/>
              <w:topLinePunct/>
              <w:jc w:val="left"/>
              <w:rPr>
                <w:rFonts w:ascii="仿宋" w:hAnsi="仿宋" w:eastAsia="仿宋" w:cs="仿宋"/>
                <w:highlight w:val="none"/>
              </w:rPr>
            </w:pPr>
            <w:r>
              <w:rPr>
                <w:rFonts w:hint="eastAsia" w:ascii="仿宋" w:hAnsi="仿宋" w:eastAsia="仿宋" w:cs="仿宋"/>
                <w:highlight w:val="none"/>
              </w:rPr>
              <w:t>不符合磋商文件的要求</w:t>
            </w:r>
          </w:p>
        </w:tc>
      </w:tr>
      <w:tr w14:paraId="0D71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continue"/>
            <w:vAlign w:val="center"/>
          </w:tcPr>
          <w:p w14:paraId="6AD37438">
            <w:pPr>
              <w:wordWrap w:val="0"/>
              <w:topLinePunct/>
              <w:ind w:firstLine="630" w:firstLineChars="300"/>
              <w:jc w:val="center"/>
              <w:rPr>
                <w:rFonts w:ascii="仿宋" w:hAnsi="仿宋" w:eastAsia="仿宋" w:cs="仿宋"/>
                <w:highlight w:val="none"/>
              </w:rPr>
            </w:pPr>
          </w:p>
        </w:tc>
        <w:tc>
          <w:tcPr>
            <w:tcW w:w="1909" w:type="dxa"/>
            <w:vAlign w:val="center"/>
          </w:tcPr>
          <w:p w14:paraId="78965FA3">
            <w:pPr>
              <w:wordWrap w:val="0"/>
              <w:topLinePunct/>
              <w:adjustRightInd w:val="0"/>
              <w:snapToGrid w:val="0"/>
              <w:jc w:val="center"/>
              <w:rPr>
                <w:rFonts w:eastAsia="仿宋"/>
                <w:highlight w:val="none"/>
              </w:rPr>
            </w:pPr>
            <w:r>
              <w:rPr>
                <w:rFonts w:hint="eastAsia" w:eastAsia="仿宋"/>
                <w:highlight w:val="none"/>
              </w:rPr>
              <w:t>实质性要求</w:t>
            </w:r>
          </w:p>
        </w:tc>
        <w:tc>
          <w:tcPr>
            <w:tcW w:w="6881" w:type="dxa"/>
            <w:vAlign w:val="center"/>
          </w:tcPr>
          <w:p w14:paraId="1432D26A">
            <w:pPr>
              <w:wordWrap w:val="0"/>
              <w:topLinePunct/>
              <w:adjustRightInd w:val="0"/>
              <w:snapToGrid w:val="0"/>
              <w:jc w:val="left"/>
              <w:rPr>
                <w:rFonts w:eastAsia="仿宋"/>
                <w:highlight w:val="none"/>
              </w:rPr>
            </w:pPr>
            <w:r>
              <w:rPr>
                <w:rFonts w:hint="eastAsia" w:eastAsia="仿宋"/>
                <w:highlight w:val="none"/>
              </w:rPr>
              <w:t>与磋商文件</w:t>
            </w:r>
            <w:r>
              <w:rPr>
                <w:rFonts w:eastAsia="仿宋"/>
                <w:highlight w:val="none"/>
              </w:rPr>
              <w:t>实质性要求有</w:t>
            </w:r>
            <w:r>
              <w:rPr>
                <w:rFonts w:hint="eastAsia" w:eastAsia="仿宋"/>
                <w:highlight w:val="none"/>
              </w:rPr>
              <w:t>负</w:t>
            </w:r>
            <w:r>
              <w:rPr>
                <w:rFonts w:eastAsia="仿宋"/>
                <w:highlight w:val="none"/>
              </w:rPr>
              <w:t>偏离</w:t>
            </w:r>
            <w:r>
              <w:rPr>
                <w:rFonts w:hint="eastAsia" w:eastAsia="仿宋"/>
                <w:highlight w:val="none"/>
              </w:rPr>
              <w:t>或未提供</w:t>
            </w:r>
            <w:r>
              <w:rPr>
                <w:rFonts w:eastAsia="仿宋"/>
                <w:highlight w:val="none"/>
              </w:rPr>
              <w:t>实质性要求</w:t>
            </w:r>
            <w:r>
              <w:rPr>
                <w:rFonts w:hint="eastAsia" w:eastAsia="仿宋"/>
                <w:highlight w:val="none"/>
              </w:rPr>
              <w:t>证明材料的。</w:t>
            </w:r>
          </w:p>
        </w:tc>
      </w:tr>
      <w:tr w14:paraId="77C5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5" w:type="dxa"/>
            <w:vMerge w:val="continue"/>
            <w:vAlign w:val="center"/>
          </w:tcPr>
          <w:p w14:paraId="3B298E36">
            <w:pPr>
              <w:wordWrap w:val="0"/>
              <w:topLinePunct/>
              <w:ind w:firstLine="630" w:firstLineChars="300"/>
              <w:jc w:val="center"/>
              <w:rPr>
                <w:rFonts w:ascii="仿宋" w:hAnsi="仿宋" w:eastAsia="仿宋" w:cs="仿宋"/>
                <w:highlight w:val="none"/>
              </w:rPr>
            </w:pPr>
          </w:p>
        </w:tc>
        <w:tc>
          <w:tcPr>
            <w:tcW w:w="1909" w:type="dxa"/>
            <w:vAlign w:val="center"/>
          </w:tcPr>
          <w:p w14:paraId="274CB122">
            <w:pPr>
              <w:wordWrap w:val="0"/>
              <w:topLinePunct/>
              <w:jc w:val="center"/>
              <w:rPr>
                <w:rFonts w:ascii="仿宋" w:hAnsi="仿宋" w:eastAsia="仿宋" w:cs="仿宋"/>
                <w:highlight w:val="none"/>
              </w:rPr>
            </w:pPr>
            <w:r>
              <w:rPr>
                <w:rFonts w:hint="eastAsia" w:ascii="仿宋" w:hAnsi="仿宋" w:eastAsia="仿宋" w:cs="仿宋"/>
                <w:highlight w:val="none"/>
              </w:rPr>
              <w:t>其他</w:t>
            </w:r>
          </w:p>
        </w:tc>
        <w:tc>
          <w:tcPr>
            <w:tcW w:w="6881" w:type="dxa"/>
            <w:vAlign w:val="center"/>
          </w:tcPr>
          <w:p w14:paraId="56ABD8BB">
            <w:pPr>
              <w:wordWrap w:val="0"/>
              <w:topLinePunct/>
              <w:jc w:val="left"/>
              <w:rPr>
                <w:rFonts w:ascii="仿宋" w:hAnsi="仿宋" w:eastAsia="仿宋" w:cs="仿宋"/>
                <w:highlight w:val="none"/>
              </w:rPr>
            </w:pPr>
            <w:r>
              <w:rPr>
                <w:rFonts w:hint="eastAsia" w:ascii="仿宋" w:hAnsi="仿宋" w:eastAsia="仿宋" w:cs="仿宋"/>
                <w:highlight w:val="none"/>
              </w:rPr>
              <w:t>不符合法律法规和磋商文件中规定的其它无效成交的情形</w:t>
            </w:r>
          </w:p>
        </w:tc>
      </w:tr>
    </w:tbl>
    <w:p w14:paraId="56BBD30D">
      <w:pPr>
        <w:wordWrap w:val="0"/>
        <w:topLinePunct/>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3.澄清、说明或更正</w:t>
      </w:r>
    </w:p>
    <w:p w14:paraId="7F71E64A">
      <w:pPr>
        <w:wordWrap w:val="0"/>
        <w:topLinePunct/>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D2ADE01">
      <w:pPr>
        <w:wordWrap w:val="0"/>
        <w:topLinePunct/>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磋商小组认为供应商的报价明显低于其他通过符合性审查供应商的报价，有可能影响产品质量或者不能诚信履约的，应当要求其在合理的时间内提供说明，必要时提交相关证明材料；供应商不能证明其报价合理性的，磋商小组应当将其作为无效响应处理。</w:t>
      </w:r>
    </w:p>
    <w:p w14:paraId="5692D2D2">
      <w:pPr>
        <w:wordWrap w:val="0"/>
        <w:topLinePunct/>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磋商小组要求供应商澄清、说明或者更正响应文件应当以书面形式作出。供应商的澄清、说明或者更正应当由法定代表人或其授权代表签字或者加盖公章。由授权代表签字的，应当附法定代表人授权书（原响应文件已提供的无需重复提供）。供应商为自然人的，应当由本人签字并附身份证明（原响应文件已提供的无需重复提供）。</w:t>
      </w:r>
    </w:p>
    <w:p w14:paraId="4D002FC7">
      <w:pPr>
        <w:wordWrap w:val="0"/>
        <w:topLinePunct/>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4.</w:t>
      </w:r>
      <w:r>
        <w:rPr>
          <w:rFonts w:ascii="仿宋" w:hAnsi="仿宋" w:eastAsia="仿宋" w:cs="仿宋"/>
          <w:sz w:val="24"/>
          <w:highlight w:val="none"/>
        </w:rPr>
        <w:t>异常低价响应</w:t>
      </w:r>
      <w:r>
        <w:rPr>
          <w:rFonts w:hint="eastAsia" w:ascii="仿宋" w:hAnsi="仿宋" w:eastAsia="仿宋" w:cs="仿宋"/>
          <w:sz w:val="24"/>
          <w:highlight w:val="none"/>
        </w:rPr>
        <w:t>审查</w:t>
      </w:r>
    </w:p>
    <w:p w14:paraId="563ED406">
      <w:pPr>
        <w:wordWrap w:val="0"/>
        <w:topLinePunct/>
        <w:snapToGrid w:val="0"/>
        <w:spacing w:line="360" w:lineRule="auto"/>
        <w:ind w:firstLine="480" w:firstLineChars="200"/>
        <w:rPr>
          <w:rFonts w:ascii="仿宋" w:hAnsi="仿宋" w:eastAsia="仿宋" w:cs="仿宋"/>
          <w:sz w:val="24"/>
          <w:highlight w:val="none"/>
        </w:rPr>
      </w:pPr>
      <w:r>
        <w:rPr>
          <w:rFonts w:ascii="仿宋" w:hAnsi="仿宋" w:eastAsia="仿宋" w:cs="仿宋"/>
          <w:sz w:val="24"/>
          <w:highlight w:val="none"/>
        </w:rPr>
        <w:t>响应报价（最后报价）出现下列情形之一的，评审委员会应当启动异常低价响应审查程序</w:t>
      </w:r>
      <w:r>
        <w:rPr>
          <w:rFonts w:hint="eastAsia" w:ascii="仿宋" w:hAnsi="仿宋" w:eastAsia="仿宋" w:cs="仿宋"/>
          <w:sz w:val="24"/>
          <w:highlight w:val="none"/>
        </w:rPr>
        <w:t>：</w:t>
      </w:r>
    </w:p>
    <w:tbl>
      <w:tblPr>
        <w:tblStyle w:val="23"/>
        <w:tblW w:w="8312" w:type="dxa"/>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1741"/>
        <w:gridCol w:w="6571"/>
      </w:tblGrid>
      <w:tr w14:paraId="46DA9A7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741" w:type="dxa"/>
            <w:tcBorders>
              <w:top w:val="single" w:color="auto" w:sz="4" w:space="0"/>
              <w:left w:val="single" w:color="auto" w:sz="4" w:space="0"/>
              <w:bottom w:val="single" w:color="auto" w:sz="4" w:space="0"/>
              <w:right w:val="single" w:color="auto" w:sz="4" w:space="0"/>
            </w:tcBorders>
            <w:vAlign w:val="center"/>
          </w:tcPr>
          <w:p w14:paraId="7E2BFC9F">
            <w:pPr>
              <w:topLinePunct/>
              <w:adjustRightInd w:val="0"/>
              <w:snapToGrid w:val="0"/>
              <w:jc w:val="center"/>
              <w:rPr>
                <w:rFonts w:eastAsia="仿宋"/>
                <w:snapToGrid w:val="0"/>
                <w:kern w:val="0"/>
                <w:highlight w:val="none"/>
              </w:rPr>
            </w:pPr>
            <w:r>
              <w:rPr>
                <w:rFonts w:eastAsia="仿宋"/>
                <w:snapToGrid w:val="0"/>
                <w:kern w:val="0"/>
                <w:highlight w:val="none"/>
              </w:rPr>
              <w:t>审查内容</w:t>
            </w:r>
          </w:p>
        </w:tc>
        <w:tc>
          <w:tcPr>
            <w:tcW w:w="6571" w:type="dxa"/>
            <w:tcBorders>
              <w:top w:val="single" w:color="auto" w:sz="4" w:space="0"/>
              <w:left w:val="single" w:color="auto" w:sz="4" w:space="0"/>
              <w:bottom w:val="single" w:color="auto" w:sz="4" w:space="0"/>
              <w:right w:val="single" w:color="auto" w:sz="4" w:space="0"/>
            </w:tcBorders>
            <w:vAlign w:val="center"/>
          </w:tcPr>
          <w:p w14:paraId="6D5B8251">
            <w:pPr>
              <w:wordWrap w:val="0"/>
              <w:topLinePunct/>
              <w:adjustRightInd w:val="0"/>
              <w:snapToGrid w:val="0"/>
              <w:jc w:val="center"/>
              <w:rPr>
                <w:rFonts w:eastAsia="仿宋"/>
                <w:snapToGrid w:val="0"/>
                <w:kern w:val="0"/>
                <w:highlight w:val="none"/>
              </w:rPr>
            </w:pPr>
            <w:r>
              <w:rPr>
                <w:rFonts w:eastAsia="仿宋"/>
                <w:snapToGrid w:val="0"/>
                <w:kern w:val="0"/>
                <w:highlight w:val="none"/>
              </w:rPr>
              <w:t>审查标准</w:t>
            </w:r>
          </w:p>
        </w:tc>
      </w:tr>
      <w:tr w14:paraId="583A196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741" w:type="dxa"/>
            <w:vMerge w:val="restart"/>
            <w:tcBorders>
              <w:top w:val="single" w:color="auto" w:sz="4" w:space="0"/>
              <w:left w:val="single" w:color="auto" w:sz="4" w:space="0"/>
              <w:right w:val="single" w:color="auto" w:sz="4" w:space="0"/>
            </w:tcBorders>
            <w:vAlign w:val="center"/>
          </w:tcPr>
          <w:p w14:paraId="00D00833">
            <w:pPr>
              <w:wordWrap w:val="0"/>
              <w:topLinePunct/>
              <w:adjustRightInd w:val="0"/>
              <w:snapToGrid w:val="0"/>
              <w:jc w:val="center"/>
              <w:rPr>
                <w:rFonts w:eastAsia="仿宋"/>
                <w:snapToGrid w:val="0"/>
                <w:kern w:val="0"/>
                <w:highlight w:val="none"/>
              </w:rPr>
            </w:pPr>
            <w:r>
              <w:rPr>
                <w:rFonts w:eastAsia="仿宋"/>
                <w:snapToGrid w:val="0"/>
                <w:kern w:val="0"/>
                <w:highlight w:val="none"/>
              </w:rPr>
              <w:t>异常低价响应审查</w:t>
            </w:r>
          </w:p>
        </w:tc>
        <w:tc>
          <w:tcPr>
            <w:tcW w:w="6571" w:type="dxa"/>
            <w:tcBorders>
              <w:top w:val="single" w:color="auto" w:sz="4" w:space="0"/>
              <w:left w:val="single" w:color="auto" w:sz="4" w:space="0"/>
              <w:bottom w:val="single" w:color="auto" w:sz="4" w:space="0"/>
              <w:right w:val="single" w:color="auto" w:sz="4" w:space="0"/>
            </w:tcBorders>
            <w:vAlign w:val="center"/>
          </w:tcPr>
          <w:p w14:paraId="23317DA8">
            <w:pPr>
              <w:pStyle w:val="11"/>
              <w:topLinePunct/>
              <w:jc w:val="both"/>
              <w:rPr>
                <w:rFonts w:eastAsia="仿宋"/>
                <w:highlight w:val="none"/>
              </w:rPr>
            </w:pPr>
            <w:r>
              <w:rPr>
                <w:rFonts w:eastAsia="仿宋"/>
                <w:highlight w:val="none"/>
              </w:rPr>
              <w:t>（1）响应报价低于全部通过符合性审查供应商响应报价平均值A%的，即响应报价&lt;全部通过符合性审查供应商响应报价平均值×A%；</w:t>
            </w:r>
          </w:p>
        </w:tc>
      </w:tr>
      <w:tr w14:paraId="0AC51A1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741" w:type="dxa"/>
            <w:vMerge w:val="continue"/>
            <w:tcBorders>
              <w:left w:val="single" w:color="auto" w:sz="4" w:space="0"/>
              <w:right w:val="single" w:color="auto" w:sz="4" w:space="0"/>
            </w:tcBorders>
            <w:vAlign w:val="center"/>
          </w:tcPr>
          <w:p w14:paraId="2890D1F6">
            <w:pPr>
              <w:wordWrap w:val="0"/>
              <w:topLinePunct/>
              <w:adjustRightInd w:val="0"/>
              <w:snapToGrid w:val="0"/>
              <w:jc w:val="center"/>
              <w:rPr>
                <w:rFonts w:eastAsia="仿宋"/>
                <w:snapToGrid w:val="0"/>
                <w:kern w:val="0"/>
                <w:highlight w:val="none"/>
              </w:rPr>
            </w:pPr>
          </w:p>
        </w:tc>
        <w:tc>
          <w:tcPr>
            <w:tcW w:w="6571" w:type="dxa"/>
            <w:tcBorders>
              <w:top w:val="single" w:color="auto" w:sz="4" w:space="0"/>
              <w:left w:val="single" w:color="auto" w:sz="4" w:space="0"/>
              <w:bottom w:val="single" w:color="auto" w:sz="4" w:space="0"/>
              <w:right w:val="single" w:color="auto" w:sz="4" w:space="0"/>
            </w:tcBorders>
            <w:vAlign w:val="center"/>
          </w:tcPr>
          <w:p w14:paraId="260E0455">
            <w:pPr>
              <w:pStyle w:val="11"/>
              <w:wordWrap w:val="0"/>
              <w:topLinePunct/>
              <w:jc w:val="both"/>
              <w:rPr>
                <w:rFonts w:eastAsia="仿宋"/>
                <w:highlight w:val="none"/>
              </w:rPr>
            </w:pPr>
            <w:r>
              <w:rPr>
                <w:rFonts w:eastAsia="仿宋"/>
                <w:highlight w:val="none"/>
              </w:rPr>
              <w:t>（2）响应报价低于通过符合性审查的次低报价供应商响应报价B%的，即响应报价&lt;通过符合性审查的次低报价供应商响应报价×B%；</w:t>
            </w:r>
          </w:p>
        </w:tc>
      </w:tr>
      <w:tr w14:paraId="7C43C71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741" w:type="dxa"/>
            <w:vMerge w:val="continue"/>
            <w:tcBorders>
              <w:left w:val="single" w:color="auto" w:sz="4" w:space="0"/>
              <w:right w:val="single" w:color="auto" w:sz="4" w:space="0"/>
            </w:tcBorders>
            <w:vAlign w:val="center"/>
          </w:tcPr>
          <w:p w14:paraId="1AAA04D5">
            <w:pPr>
              <w:wordWrap w:val="0"/>
              <w:topLinePunct/>
              <w:adjustRightInd w:val="0"/>
              <w:snapToGrid w:val="0"/>
              <w:jc w:val="center"/>
              <w:rPr>
                <w:rFonts w:eastAsia="仿宋"/>
                <w:snapToGrid w:val="0"/>
                <w:kern w:val="0"/>
                <w:highlight w:val="none"/>
              </w:rPr>
            </w:pPr>
          </w:p>
        </w:tc>
        <w:tc>
          <w:tcPr>
            <w:tcW w:w="6571" w:type="dxa"/>
            <w:tcBorders>
              <w:top w:val="single" w:color="auto" w:sz="4" w:space="0"/>
              <w:left w:val="single" w:color="auto" w:sz="4" w:space="0"/>
              <w:bottom w:val="single" w:color="auto" w:sz="4" w:space="0"/>
              <w:right w:val="single" w:color="auto" w:sz="4" w:space="0"/>
            </w:tcBorders>
            <w:vAlign w:val="center"/>
          </w:tcPr>
          <w:p w14:paraId="42035079">
            <w:pPr>
              <w:pStyle w:val="11"/>
              <w:wordWrap w:val="0"/>
              <w:topLinePunct/>
              <w:jc w:val="both"/>
              <w:rPr>
                <w:rFonts w:eastAsia="仿宋"/>
                <w:highlight w:val="none"/>
              </w:rPr>
            </w:pPr>
            <w:r>
              <w:rPr>
                <w:rFonts w:eastAsia="仿宋"/>
                <w:highlight w:val="none"/>
              </w:rPr>
              <w:t>（3）响应报价低于采购项目最高限价C%的，即响应报价&lt;采购项目最高限价×C%；</w:t>
            </w:r>
          </w:p>
        </w:tc>
      </w:tr>
      <w:tr w14:paraId="4E5FA7D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84" w:hRule="atLeast"/>
          <w:jc w:val="center"/>
        </w:trPr>
        <w:tc>
          <w:tcPr>
            <w:tcW w:w="1741" w:type="dxa"/>
            <w:vMerge w:val="continue"/>
            <w:tcBorders>
              <w:left w:val="single" w:color="auto" w:sz="4" w:space="0"/>
              <w:bottom w:val="single" w:color="auto" w:sz="4" w:space="0"/>
              <w:right w:val="single" w:color="auto" w:sz="4" w:space="0"/>
            </w:tcBorders>
            <w:vAlign w:val="center"/>
          </w:tcPr>
          <w:p w14:paraId="5AF548D7">
            <w:pPr>
              <w:wordWrap w:val="0"/>
              <w:topLinePunct/>
              <w:adjustRightInd w:val="0"/>
              <w:snapToGrid w:val="0"/>
              <w:jc w:val="center"/>
              <w:rPr>
                <w:rFonts w:eastAsia="仿宋"/>
                <w:snapToGrid w:val="0"/>
                <w:kern w:val="0"/>
                <w:highlight w:val="none"/>
              </w:rPr>
            </w:pPr>
          </w:p>
        </w:tc>
        <w:tc>
          <w:tcPr>
            <w:tcW w:w="6571" w:type="dxa"/>
            <w:tcBorders>
              <w:top w:val="single" w:color="auto" w:sz="4" w:space="0"/>
              <w:left w:val="single" w:color="auto" w:sz="4" w:space="0"/>
              <w:bottom w:val="single" w:color="auto" w:sz="4" w:space="0"/>
              <w:right w:val="single" w:color="auto" w:sz="4" w:space="0"/>
            </w:tcBorders>
            <w:vAlign w:val="center"/>
          </w:tcPr>
          <w:p w14:paraId="4900598E">
            <w:pPr>
              <w:pStyle w:val="11"/>
              <w:wordWrap w:val="0"/>
              <w:topLinePunct/>
              <w:jc w:val="both"/>
              <w:rPr>
                <w:rFonts w:eastAsia="仿宋"/>
                <w:highlight w:val="none"/>
              </w:rPr>
            </w:pPr>
            <w:r>
              <w:rPr>
                <w:rFonts w:eastAsia="仿宋"/>
                <w:highlight w:val="none"/>
              </w:rPr>
              <w:t>（4）评审委员会基于专业判断，认为供应商报价过低，有可能影响产品质量或者不能诚信履约的其他情形。</w:t>
            </w:r>
          </w:p>
        </w:tc>
      </w:tr>
    </w:tbl>
    <w:p w14:paraId="58154127">
      <w:pPr>
        <w:wordWrap w:val="0"/>
        <w:topLinePunct/>
        <w:snapToGrid w:val="0"/>
        <w:spacing w:line="360" w:lineRule="auto"/>
        <w:ind w:firstLine="480" w:firstLineChars="200"/>
        <w:rPr>
          <w:rFonts w:ascii="仿宋" w:hAnsi="仿宋" w:eastAsia="仿宋" w:cs="仿宋"/>
          <w:sz w:val="24"/>
          <w:highlight w:val="none"/>
          <w:u w:val="single"/>
        </w:rPr>
      </w:pPr>
      <w:r>
        <w:rPr>
          <w:rFonts w:ascii="仿宋" w:hAnsi="仿宋" w:eastAsia="仿宋" w:cs="仿宋"/>
          <w:sz w:val="24"/>
          <w:highlight w:val="none"/>
        </w:rPr>
        <w:t>启动异常低价响应审查的数值标准：A=</w:t>
      </w:r>
      <w:r>
        <w:rPr>
          <w:rFonts w:hint="eastAsia" w:ascii="仿宋" w:hAnsi="仿宋" w:eastAsia="仿宋" w:cs="仿宋"/>
          <w:sz w:val="24"/>
          <w:highlight w:val="none"/>
          <w:u w:val="single"/>
        </w:rPr>
        <w:t>50</w:t>
      </w:r>
      <w:r>
        <w:rPr>
          <w:rFonts w:ascii="仿宋" w:hAnsi="仿宋" w:eastAsia="仿宋" w:cs="仿宋"/>
          <w:sz w:val="24"/>
          <w:highlight w:val="none"/>
        </w:rPr>
        <w:t>；B=</w:t>
      </w:r>
      <w:r>
        <w:rPr>
          <w:rFonts w:hint="eastAsia" w:ascii="仿宋" w:hAnsi="仿宋" w:eastAsia="仿宋" w:cs="仿宋"/>
          <w:sz w:val="24"/>
          <w:highlight w:val="none"/>
          <w:u w:val="single"/>
        </w:rPr>
        <w:t>50</w:t>
      </w:r>
      <w:r>
        <w:rPr>
          <w:rFonts w:ascii="仿宋" w:hAnsi="仿宋" w:eastAsia="仿宋" w:cs="仿宋"/>
          <w:sz w:val="24"/>
          <w:highlight w:val="none"/>
        </w:rPr>
        <w:t>；C=</w:t>
      </w:r>
      <w:r>
        <w:rPr>
          <w:rFonts w:hint="eastAsia" w:ascii="仿宋" w:hAnsi="仿宋" w:eastAsia="仿宋" w:cs="仿宋"/>
          <w:sz w:val="24"/>
          <w:highlight w:val="none"/>
          <w:u w:val="single"/>
        </w:rPr>
        <w:t>45</w:t>
      </w:r>
      <w:r>
        <w:rPr>
          <w:rFonts w:hint="eastAsia" w:ascii="仿宋" w:hAnsi="仿宋" w:eastAsia="仿宋" w:cs="仿宋"/>
          <w:sz w:val="24"/>
          <w:highlight w:val="none"/>
        </w:rPr>
        <w:t>；</w:t>
      </w:r>
    </w:p>
    <w:p w14:paraId="545729B8">
      <w:pPr>
        <w:wordWrap w:val="0"/>
        <w:topLinePunct/>
        <w:snapToGrid w:val="0"/>
        <w:spacing w:line="360" w:lineRule="auto"/>
        <w:ind w:firstLine="480" w:firstLineChars="200"/>
        <w:rPr>
          <w:rFonts w:ascii="仿宋" w:hAnsi="仿宋" w:eastAsia="仿宋" w:cs="仿宋"/>
          <w:sz w:val="24"/>
          <w:highlight w:val="none"/>
        </w:rPr>
      </w:pPr>
      <w:r>
        <w:rPr>
          <w:rFonts w:ascii="仿宋" w:hAnsi="仿宋" w:eastAsia="仿宋" w:cs="仿宋"/>
          <w:sz w:val="24"/>
          <w:highlight w:val="none"/>
        </w:rPr>
        <w:t>评审委员会启动异常低价响应审查后，属于上表第（1）目至第（4）目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目情形，供应商已随响应文件一并提交相关书面说明及必要的证明材料的，在评审现场可不再重复提交</w:t>
      </w:r>
      <w:r>
        <w:rPr>
          <w:rFonts w:hint="eastAsia" w:ascii="仿宋" w:hAnsi="仿宋" w:eastAsia="仿宋" w:cs="仿宋"/>
          <w:sz w:val="24"/>
          <w:highlight w:val="none"/>
        </w:rPr>
        <w:t>。</w:t>
      </w:r>
    </w:p>
    <w:p w14:paraId="25359D2D">
      <w:pPr>
        <w:wordWrap w:val="0"/>
        <w:topLinePunct/>
        <w:snapToGrid w:val="0"/>
        <w:spacing w:line="360" w:lineRule="auto"/>
        <w:ind w:firstLine="480" w:firstLineChars="200"/>
        <w:rPr>
          <w:rFonts w:ascii="仿宋" w:hAnsi="仿宋" w:eastAsia="仿宋" w:cs="仿宋"/>
          <w:sz w:val="24"/>
          <w:highlight w:val="none"/>
        </w:rPr>
      </w:pPr>
      <w:r>
        <w:rPr>
          <w:rFonts w:ascii="仿宋" w:hAnsi="仿宋" w:eastAsia="仿宋" w:cs="仿宋"/>
          <w:sz w:val="24"/>
          <w:highlight w:val="none"/>
        </w:rPr>
        <w:t>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r>
        <w:rPr>
          <w:rFonts w:hint="eastAsia" w:ascii="仿宋" w:hAnsi="仿宋" w:eastAsia="仿宋" w:cs="仿宋"/>
          <w:sz w:val="24"/>
          <w:highlight w:val="none"/>
        </w:rPr>
        <w:t>。</w:t>
      </w:r>
    </w:p>
    <w:p w14:paraId="303DD8FF">
      <w:pPr>
        <w:wordWrap w:val="0"/>
        <w:topLinePunct/>
        <w:snapToGrid w:val="0"/>
        <w:spacing w:line="360" w:lineRule="auto"/>
        <w:ind w:firstLine="480" w:firstLineChars="200"/>
        <w:rPr>
          <w:rFonts w:ascii="仿宋" w:hAnsi="仿宋" w:eastAsia="仿宋" w:cs="仿宋"/>
          <w:sz w:val="24"/>
          <w:highlight w:val="none"/>
        </w:rPr>
      </w:pPr>
      <w:r>
        <w:rPr>
          <w:rFonts w:ascii="仿宋" w:hAnsi="仿宋" w:eastAsia="仿宋" w:cs="仿宋"/>
          <w:sz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r>
        <w:rPr>
          <w:rFonts w:hint="eastAsia" w:ascii="仿宋" w:hAnsi="仿宋" w:eastAsia="仿宋" w:cs="仿宋"/>
          <w:sz w:val="24"/>
          <w:highlight w:val="none"/>
        </w:rPr>
        <w:t>。</w:t>
      </w:r>
    </w:p>
    <w:p w14:paraId="223E13D9">
      <w:pPr>
        <w:wordWrap w:val="0"/>
        <w:topLinePunct/>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5.综合评分（满分100分）</w:t>
      </w:r>
    </w:p>
    <w:p w14:paraId="46285F06">
      <w:pPr>
        <w:wordWrap w:val="0"/>
        <w:topLinePunct/>
        <w:snapToGrid w:val="0"/>
        <w:spacing w:line="360" w:lineRule="auto"/>
        <w:ind w:firstLine="480" w:firstLineChars="200"/>
        <w:rPr>
          <w:rFonts w:ascii="仿宋" w:hAnsi="仿宋" w:eastAsia="仿宋" w:cs="仿宋"/>
          <w:sz w:val="24"/>
          <w:highlight w:val="none"/>
        </w:rPr>
      </w:pPr>
      <w:bookmarkStart w:id="8" w:name="_Hlk130651420"/>
      <w:bookmarkStart w:id="9" w:name="_Hlk130647577"/>
      <w:bookmarkStart w:id="10" w:name="_Hlk130551687"/>
      <w:r>
        <w:rPr>
          <w:rFonts w:hint="eastAsia" w:ascii="仿宋" w:hAnsi="仿宋" w:eastAsia="仿宋" w:cs="仿宋"/>
          <w:sz w:val="24"/>
          <w:highlight w:val="none"/>
        </w:rPr>
        <w:t>磋商小组各成员应当独立对每个有效响应的文件进行评价、打分，然后汇总平均每个供应商每项评分因素的得分，各项得分四舍五入保留两位小数。</w:t>
      </w:r>
      <w:bookmarkEnd w:id="8"/>
      <w:bookmarkEnd w:id="9"/>
      <w:bookmarkEnd w:id="10"/>
    </w:p>
    <w:p w14:paraId="203811C8">
      <w:pPr>
        <w:wordWrap w:val="0"/>
        <w:topLinePunct/>
        <w:snapToGri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5.1商</w:t>
      </w:r>
      <w:r>
        <w:rPr>
          <w:rFonts w:hint="eastAsia" w:ascii="仿宋" w:hAnsi="仿宋" w:eastAsia="仿宋" w:cs="仿宋"/>
          <w:color w:val="000000" w:themeColor="text1"/>
          <w:sz w:val="24"/>
          <w:szCs w:val="24"/>
          <w:highlight w:val="none"/>
          <w14:textFill>
            <w14:solidFill>
              <w14:schemeClr w14:val="tx1"/>
            </w14:solidFill>
          </w14:textFill>
        </w:rPr>
        <w:t>务部分</w:t>
      </w:r>
      <w:r>
        <w:rPr>
          <w:rFonts w:hint="eastAsia" w:ascii="仿宋" w:hAnsi="仿宋" w:eastAsia="仿宋" w:cs="仿宋"/>
          <w:color w:val="000000" w:themeColor="text1"/>
          <w:sz w:val="24"/>
          <w:szCs w:val="24"/>
          <w:highlight w:val="none"/>
          <w:lang w:val="en-US" w:eastAsia="zh-CN"/>
          <w14:textFill>
            <w14:solidFill>
              <w14:schemeClr w14:val="tx1"/>
            </w14:solidFill>
          </w14:textFill>
        </w:rPr>
        <w:t>20</w:t>
      </w:r>
      <w:r>
        <w:rPr>
          <w:rFonts w:hint="eastAsia" w:ascii="仿宋" w:hAnsi="仿宋" w:eastAsia="仿宋" w:cs="仿宋"/>
          <w:color w:val="000000" w:themeColor="text1"/>
          <w:sz w:val="24"/>
          <w:szCs w:val="24"/>
          <w:highlight w:val="none"/>
          <w14:textFill>
            <w14:solidFill>
              <w14:schemeClr w14:val="tx1"/>
            </w14:solidFill>
          </w14:textFill>
        </w:rPr>
        <w:t>分</w:t>
      </w:r>
    </w:p>
    <w:tbl>
      <w:tblPr>
        <w:tblStyle w:val="23"/>
        <w:tblW w:w="9541" w:type="dxa"/>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1552"/>
        <w:gridCol w:w="661"/>
        <w:gridCol w:w="7328"/>
      </w:tblGrid>
      <w:tr w14:paraId="275E3C2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608EC290">
            <w:pPr>
              <w:spacing w:line="360" w:lineRule="auto"/>
              <w:jc w:val="center"/>
              <w:rPr>
                <w:rFonts w:ascii="仿宋" w:hAnsi="仿宋" w:eastAsia="仿宋" w:cs="仿宋"/>
                <w:highlight w:val="none"/>
              </w:rPr>
            </w:pPr>
            <w:r>
              <w:rPr>
                <w:rFonts w:hint="eastAsia" w:ascii="仿宋" w:hAnsi="仿宋" w:eastAsia="仿宋" w:cs="仿宋"/>
                <w:highlight w:val="none"/>
              </w:rPr>
              <w:t>评审项目</w:t>
            </w:r>
          </w:p>
        </w:tc>
        <w:tc>
          <w:tcPr>
            <w:tcW w:w="661" w:type="dxa"/>
            <w:tcBorders>
              <w:top w:val="outset" w:color="auto" w:sz="6" w:space="0"/>
              <w:left w:val="outset" w:color="auto" w:sz="6" w:space="0"/>
              <w:bottom w:val="outset" w:color="auto" w:sz="6" w:space="0"/>
              <w:right w:val="outset" w:color="auto" w:sz="6" w:space="0"/>
            </w:tcBorders>
            <w:vAlign w:val="center"/>
          </w:tcPr>
          <w:p w14:paraId="3D01A86B">
            <w:pPr>
              <w:spacing w:line="360" w:lineRule="auto"/>
              <w:jc w:val="center"/>
              <w:rPr>
                <w:rFonts w:ascii="仿宋" w:hAnsi="仿宋" w:eastAsia="仿宋" w:cs="仿宋"/>
                <w:highlight w:val="none"/>
              </w:rPr>
            </w:pPr>
            <w:r>
              <w:rPr>
                <w:rFonts w:hint="eastAsia" w:ascii="仿宋" w:hAnsi="仿宋" w:eastAsia="仿宋" w:cs="仿宋"/>
                <w:highlight w:val="none"/>
              </w:rPr>
              <w:t>分值</w:t>
            </w:r>
          </w:p>
        </w:tc>
        <w:tc>
          <w:tcPr>
            <w:tcW w:w="7328" w:type="dxa"/>
            <w:tcBorders>
              <w:top w:val="outset" w:color="auto" w:sz="6" w:space="0"/>
              <w:left w:val="outset" w:color="auto" w:sz="6" w:space="0"/>
              <w:bottom w:val="outset" w:color="auto" w:sz="6" w:space="0"/>
              <w:right w:val="outset" w:color="auto" w:sz="6" w:space="0"/>
            </w:tcBorders>
            <w:vAlign w:val="center"/>
          </w:tcPr>
          <w:p w14:paraId="49503C03">
            <w:pPr>
              <w:spacing w:line="360" w:lineRule="auto"/>
              <w:jc w:val="center"/>
              <w:rPr>
                <w:rFonts w:ascii="仿宋" w:hAnsi="仿宋" w:eastAsia="仿宋" w:cs="仿宋"/>
                <w:highlight w:val="none"/>
              </w:rPr>
            </w:pPr>
            <w:r>
              <w:rPr>
                <w:rFonts w:hint="eastAsia" w:ascii="仿宋" w:hAnsi="仿宋" w:eastAsia="仿宋" w:cs="仿宋"/>
                <w:highlight w:val="none"/>
              </w:rPr>
              <w:t>依据</w:t>
            </w:r>
          </w:p>
        </w:tc>
      </w:tr>
      <w:tr w14:paraId="5283B07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69" w:hRule="atLeast"/>
          <w:jc w:val="center"/>
        </w:trPr>
        <w:tc>
          <w:tcPr>
            <w:tcW w:w="1552" w:type="dxa"/>
            <w:tcBorders>
              <w:top w:val="outset" w:color="auto" w:sz="6" w:space="0"/>
              <w:left w:val="outset" w:color="auto" w:sz="6" w:space="0"/>
              <w:bottom w:val="outset" w:color="auto" w:sz="6" w:space="0"/>
              <w:right w:val="outset" w:color="auto" w:sz="6" w:space="0"/>
            </w:tcBorders>
            <w:vAlign w:val="center"/>
          </w:tcPr>
          <w:p w14:paraId="1014B8BC">
            <w:pPr>
              <w:pStyle w:val="57"/>
              <w:spacing w:before="41" w:line="234" w:lineRule="auto"/>
              <w:ind w:right="17"/>
              <w:rPr>
                <w:sz w:val="21"/>
                <w:szCs w:val="21"/>
                <w:highlight w:val="none"/>
                <w:lang w:eastAsia="zh-CN"/>
              </w:rPr>
            </w:pPr>
            <w:r>
              <w:rPr>
                <w:rFonts w:hint="eastAsia"/>
                <w:sz w:val="21"/>
                <w:szCs w:val="21"/>
                <w:highlight w:val="none"/>
                <w:lang w:eastAsia="zh-CN"/>
              </w:rPr>
              <w:t>报价(供应商提交的最后报价)</w:t>
            </w:r>
          </w:p>
        </w:tc>
        <w:tc>
          <w:tcPr>
            <w:tcW w:w="661" w:type="dxa"/>
            <w:tcBorders>
              <w:top w:val="outset" w:color="auto" w:sz="6" w:space="0"/>
              <w:left w:val="outset" w:color="auto" w:sz="6" w:space="0"/>
              <w:bottom w:val="outset" w:color="auto" w:sz="6" w:space="0"/>
              <w:right w:val="outset" w:color="auto" w:sz="6" w:space="0"/>
            </w:tcBorders>
            <w:vAlign w:val="center"/>
          </w:tcPr>
          <w:p w14:paraId="590422F6">
            <w:pPr>
              <w:pStyle w:val="57"/>
              <w:spacing w:before="41" w:line="234" w:lineRule="auto"/>
              <w:ind w:left="17" w:right="17"/>
              <w:jc w:val="center"/>
              <w:rPr>
                <w:sz w:val="21"/>
                <w:szCs w:val="21"/>
                <w:highlight w:val="none"/>
                <w:lang w:eastAsia="zh-CN"/>
              </w:rPr>
            </w:pPr>
            <w:r>
              <w:rPr>
                <w:rFonts w:hint="eastAsia"/>
                <w:color w:val="auto"/>
                <w:sz w:val="21"/>
                <w:szCs w:val="21"/>
                <w:highlight w:val="none"/>
                <w:lang w:eastAsia="zh-CN"/>
              </w:rPr>
              <w:t>1</w:t>
            </w:r>
            <w:r>
              <w:rPr>
                <w:rFonts w:hint="eastAsia"/>
                <w:color w:val="auto"/>
                <w:sz w:val="21"/>
                <w:szCs w:val="21"/>
                <w:highlight w:val="none"/>
                <w:lang w:val="en-US" w:eastAsia="zh-CN"/>
              </w:rPr>
              <w:t>4</w:t>
            </w:r>
            <w:r>
              <w:rPr>
                <w:rFonts w:hint="eastAsia"/>
                <w:color w:val="auto"/>
                <w:sz w:val="21"/>
                <w:szCs w:val="21"/>
                <w:highlight w:val="none"/>
                <w:lang w:eastAsia="zh-CN"/>
              </w:rPr>
              <w:t>分</w:t>
            </w:r>
          </w:p>
        </w:tc>
        <w:tc>
          <w:tcPr>
            <w:tcW w:w="7328" w:type="dxa"/>
            <w:tcBorders>
              <w:top w:val="outset" w:color="auto" w:sz="6" w:space="0"/>
              <w:left w:val="outset" w:color="auto" w:sz="6" w:space="0"/>
              <w:bottom w:val="outset" w:color="auto" w:sz="6" w:space="0"/>
              <w:right w:val="outset" w:color="auto" w:sz="6" w:space="0"/>
            </w:tcBorders>
            <w:vAlign w:val="center"/>
          </w:tcPr>
          <w:p w14:paraId="52C1ADF2">
            <w:pPr>
              <w:rPr>
                <w:rFonts w:ascii="仿宋" w:hAnsi="仿宋" w:eastAsia="仿宋" w:cs="仿宋"/>
                <w:highlight w:val="none"/>
              </w:rPr>
            </w:pPr>
            <w:r>
              <w:rPr>
                <w:rFonts w:hint="eastAsia" w:ascii="仿宋" w:hAnsi="仿宋" w:eastAsia="仿宋" w:cs="仿宋"/>
                <w:highlight w:val="none"/>
              </w:rPr>
              <w:t>本项评审步骤：所有高于最高限价的报价均按无效报价处理。</w:t>
            </w:r>
          </w:p>
          <w:p w14:paraId="6F5E4AB4">
            <w:pPr>
              <w:rPr>
                <w:rFonts w:ascii="仿宋" w:hAnsi="仿宋" w:eastAsia="仿宋" w:cs="仿宋"/>
                <w:highlight w:val="none"/>
              </w:rPr>
            </w:pPr>
            <w:r>
              <w:rPr>
                <w:rFonts w:hint="eastAsia" w:ascii="仿宋" w:hAnsi="仿宋" w:eastAsia="仿宋" w:cs="仿宋"/>
                <w:highlight w:val="none"/>
              </w:rPr>
              <w:t>1.最后报价的调整：磋商小组对所有有效响应磋商文件要求的最后报价进行核查，根据本磋商文件规定的政府采购政策进行价格扣除，以调整后的价格计算磋商基准价和最后磋商报价。</w:t>
            </w:r>
          </w:p>
          <w:p w14:paraId="311E2665">
            <w:pPr>
              <w:rPr>
                <w:rFonts w:ascii="仿宋" w:hAnsi="仿宋" w:eastAsia="仿宋" w:cs="仿宋"/>
                <w:highlight w:val="none"/>
              </w:rPr>
            </w:pPr>
            <w:r>
              <w:rPr>
                <w:rFonts w:hint="eastAsia" w:ascii="仿宋" w:hAnsi="仿宋" w:eastAsia="仿宋" w:cs="仿宋"/>
                <w:highlight w:val="none"/>
              </w:rPr>
              <w:t>2.满足磋商文件要求且最后报价最低的供应商的价格为磋商基准价，其价格分为满分。其他供应商的价格分统一按照下列公式计算：</w:t>
            </w:r>
          </w:p>
          <w:p w14:paraId="45923C81">
            <w:pPr>
              <w:rPr>
                <w:rFonts w:ascii="仿宋" w:hAnsi="仿宋" w:eastAsia="仿宋" w:cs="仿宋"/>
                <w:highlight w:val="none"/>
              </w:rPr>
            </w:pPr>
            <w:r>
              <w:rPr>
                <w:rFonts w:hint="eastAsia" w:ascii="仿宋" w:hAnsi="仿宋" w:eastAsia="仿宋" w:cs="仿宋"/>
                <w:highlight w:val="none"/>
              </w:rPr>
              <w:t>磋商报价得分=(磋商基准价/最后磋商报价)×报价满分分值</w:t>
            </w:r>
          </w:p>
        </w:tc>
      </w:tr>
      <w:tr w14:paraId="3E4437E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69" w:hRule="atLeast"/>
          <w:jc w:val="center"/>
        </w:trPr>
        <w:tc>
          <w:tcPr>
            <w:tcW w:w="1552" w:type="dxa"/>
            <w:tcBorders>
              <w:top w:val="outset" w:color="auto" w:sz="6" w:space="0"/>
              <w:left w:val="outset" w:color="auto" w:sz="6" w:space="0"/>
              <w:bottom w:val="outset" w:color="auto" w:sz="6" w:space="0"/>
              <w:right w:val="outset" w:color="auto" w:sz="6" w:space="0"/>
            </w:tcBorders>
            <w:vAlign w:val="center"/>
          </w:tcPr>
          <w:p w14:paraId="452CCF2B">
            <w:pPr>
              <w:pStyle w:val="57"/>
              <w:spacing w:before="41" w:line="234" w:lineRule="auto"/>
              <w:ind w:right="17"/>
              <w:jc w:val="center"/>
              <w:rPr>
                <w:sz w:val="21"/>
                <w:szCs w:val="21"/>
                <w:highlight w:val="none"/>
                <w:lang w:eastAsia="zh-CN"/>
              </w:rPr>
            </w:pPr>
            <w:r>
              <w:rPr>
                <w:rFonts w:hint="eastAsia"/>
                <w:sz w:val="21"/>
                <w:szCs w:val="21"/>
                <w:highlight w:val="none"/>
                <w:lang w:eastAsia="zh-CN"/>
              </w:rPr>
              <w:t>供应商业绩</w:t>
            </w:r>
          </w:p>
        </w:tc>
        <w:tc>
          <w:tcPr>
            <w:tcW w:w="661" w:type="dxa"/>
            <w:tcBorders>
              <w:top w:val="outset" w:color="auto" w:sz="6" w:space="0"/>
              <w:left w:val="outset" w:color="auto" w:sz="6" w:space="0"/>
              <w:bottom w:val="outset" w:color="auto" w:sz="6" w:space="0"/>
              <w:right w:val="outset" w:color="auto" w:sz="6" w:space="0"/>
            </w:tcBorders>
            <w:vAlign w:val="center"/>
          </w:tcPr>
          <w:p w14:paraId="48CC058C">
            <w:pPr>
              <w:pStyle w:val="57"/>
              <w:spacing w:before="41" w:line="234" w:lineRule="auto"/>
              <w:ind w:left="17" w:right="17"/>
              <w:jc w:val="center"/>
              <w:rPr>
                <w:sz w:val="21"/>
                <w:szCs w:val="21"/>
                <w:highlight w:val="none"/>
                <w:lang w:eastAsia="zh-CN"/>
              </w:rPr>
            </w:pPr>
            <w:r>
              <w:rPr>
                <w:rFonts w:hint="eastAsia"/>
                <w:sz w:val="21"/>
                <w:szCs w:val="21"/>
                <w:highlight w:val="none"/>
                <w:lang w:eastAsia="zh-CN"/>
              </w:rPr>
              <w:t>6分</w:t>
            </w:r>
          </w:p>
        </w:tc>
        <w:tc>
          <w:tcPr>
            <w:tcW w:w="7328" w:type="dxa"/>
            <w:tcBorders>
              <w:top w:val="outset" w:color="auto" w:sz="6" w:space="0"/>
              <w:left w:val="outset" w:color="auto" w:sz="6" w:space="0"/>
              <w:bottom w:val="outset" w:color="auto" w:sz="6" w:space="0"/>
              <w:right w:val="outset" w:color="auto" w:sz="6" w:space="0"/>
            </w:tcBorders>
            <w:vAlign w:val="center"/>
          </w:tcPr>
          <w:p w14:paraId="757B9025">
            <w:pPr>
              <w:rPr>
                <w:rFonts w:ascii="仿宋" w:hAnsi="仿宋" w:eastAsia="仿宋" w:cs="仿宋"/>
                <w:highlight w:val="none"/>
              </w:rPr>
            </w:pPr>
            <w:r>
              <w:rPr>
                <w:rFonts w:hint="eastAsia" w:ascii="仿宋" w:hAnsi="仿宋" w:eastAsia="仿宋" w:cs="仿宋"/>
                <w:highlight w:val="none"/>
              </w:rPr>
              <w:t>供应商具备同类业务（</w:t>
            </w:r>
            <w:r>
              <w:rPr>
                <w:rFonts w:hint="eastAsia" w:ascii="仿宋" w:hAnsi="仿宋" w:eastAsia="仿宋" w:cs="仿宋"/>
                <w:highlight w:val="none"/>
                <w:lang w:val="en-US" w:eastAsia="zh-CN"/>
              </w:rPr>
              <w:t>电梯维保</w:t>
            </w:r>
            <w:r>
              <w:rPr>
                <w:rFonts w:hint="eastAsia" w:ascii="仿宋" w:hAnsi="仿宋" w:eastAsia="仿宋" w:cs="仿宋"/>
                <w:highlight w:val="none"/>
              </w:rPr>
              <w:t>）服务业绩的，提供业绩合同，有一项加3分；加满6分为止。(响应文件中须提供业绩合同，扫描件应能辨识买卖双方公章、标的信息；如业绩合同不能体现以上全部内容，可提供业绩合同甲方盖公章的证明扫描件。否则，不得分。供应商与其关联公司(单位负责人为同一人或者存在直接控股、管理关系的不同供应商) 之间签订的合同，均不予认可。)</w:t>
            </w:r>
          </w:p>
        </w:tc>
      </w:tr>
    </w:tbl>
    <w:p w14:paraId="4ACD1599">
      <w:pPr>
        <w:wordWrap w:val="0"/>
        <w:topLinePunct/>
        <w:snapToGrid w:val="0"/>
        <w:spacing w:line="360" w:lineRule="auto"/>
        <w:rPr>
          <w:rFonts w:ascii="仿宋" w:hAnsi="仿宋" w:eastAsia="仿宋" w:cs="仿宋"/>
          <w:highlight w:val="none"/>
        </w:rPr>
      </w:pPr>
    </w:p>
    <w:p w14:paraId="374F07B5">
      <w:pPr>
        <w:wordWrap w:val="0"/>
        <w:topLinePunct/>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5</w:t>
      </w:r>
      <w:r>
        <w:rPr>
          <w:rFonts w:ascii="仿宋" w:hAnsi="仿宋" w:eastAsia="仿宋"/>
          <w:sz w:val="24"/>
          <w:szCs w:val="24"/>
          <w:highlight w:val="none"/>
        </w:rPr>
        <w:t>.2技术部分</w:t>
      </w:r>
      <w:r>
        <w:rPr>
          <w:rFonts w:hint="eastAsia" w:ascii="仿宋" w:hAnsi="仿宋" w:eastAsia="仿宋"/>
          <w:sz w:val="24"/>
          <w:szCs w:val="24"/>
          <w:highlight w:val="none"/>
          <w:lang w:val="en-US" w:eastAsia="zh-CN"/>
        </w:rPr>
        <w:t>80</w:t>
      </w:r>
      <w:r>
        <w:rPr>
          <w:rFonts w:hint="eastAsia" w:ascii="仿宋" w:hAnsi="仿宋" w:eastAsia="仿宋"/>
          <w:sz w:val="24"/>
          <w:szCs w:val="24"/>
          <w:highlight w:val="none"/>
        </w:rPr>
        <w:t>分</w:t>
      </w:r>
    </w:p>
    <w:tbl>
      <w:tblPr>
        <w:tblStyle w:val="23"/>
        <w:tblW w:w="9520" w:type="dxa"/>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1552"/>
        <w:gridCol w:w="645"/>
        <w:gridCol w:w="7323"/>
      </w:tblGrid>
      <w:tr w14:paraId="60D588F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56" w:hRule="atLeast"/>
          <w:jc w:val="center"/>
        </w:trPr>
        <w:tc>
          <w:tcPr>
            <w:tcW w:w="1552" w:type="dxa"/>
            <w:tcBorders>
              <w:top w:val="outset" w:color="auto" w:sz="6" w:space="0"/>
              <w:left w:val="outset" w:color="auto" w:sz="6" w:space="0"/>
              <w:bottom w:val="outset" w:color="auto" w:sz="6" w:space="0"/>
              <w:right w:val="outset" w:color="auto" w:sz="6" w:space="0"/>
            </w:tcBorders>
            <w:vAlign w:val="center"/>
          </w:tcPr>
          <w:p w14:paraId="6F6EFB31">
            <w:pPr>
              <w:topLinePunct/>
              <w:spacing w:line="360" w:lineRule="auto"/>
              <w:contextualSpacing/>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评审内容</w:t>
            </w:r>
          </w:p>
        </w:tc>
        <w:tc>
          <w:tcPr>
            <w:tcW w:w="645" w:type="dxa"/>
            <w:tcBorders>
              <w:top w:val="outset" w:color="auto" w:sz="6" w:space="0"/>
              <w:left w:val="outset" w:color="auto" w:sz="6" w:space="0"/>
              <w:bottom w:val="outset" w:color="auto" w:sz="6" w:space="0"/>
              <w:right w:val="outset" w:color="auto" w:sz="6" w:space="0"/>
            </w:tcBorders>
            <w:vAlign w:val="center"/>
          </w:tcPr>
          <w:p w14:paraId="0FA779AB">
            <w:pPr>
              <w:topLinePunct/>
              <w:spacing w:line="360" w:lineRule="auto"/>
              <w:contextualSpacing/>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分值</w:t>
            </w:r>
          </w:p>
        </w:tc>
        <w:tc>
          <w:tcPr>
            <w:tcW w:w="7323" w:type="dxa"/>
            <w:tcBorders>
              <w:top w:val="outset" w:color="auto" w:sz="6" w:space="0"/>
              <w:left w:val="outset" w:color="auto" w:sz="6" w:space="0"/>
              <w:bottom w:val="outset" w:color="auto" w:sz="6" w:space="0"/>
              <w:right w:val="outset" w:color="auto" w:sz="6" w:space="0"/>
            </w:tcBorders>
            <w:vAlign w:val="center"/>
          </w:tcPr>
          <w:p w14:paraId="26F35A22">
            <w:pPr>
              <w:topLinePunct/>
              <w:spacing w:line="360" w:lineRule="auto"/>
              <w:contextualSpacing/>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评审标准</w:t>
            </w:r>
          </w:p>
        </w:tc>
      </w:tr>
      <w:tr w14:paraId="0E52765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7AF54C6A">
            <w:pPr>
              <w:jc w:val="center"/>
              <w:rPr>
                <w:rFonts w:hint="eastAsia" w:ascii="仿宋" w:hAnsi="仿宋" w:eastAsia="仿宋"/>
                <w:sz w:val="22"/>
                <w:szCs w:val="22"/>
                <w:highlight w:val="none"/>
              </w:rPr>
            </w:pPr>
            <w:r>
              <w:rPr>
                <w:rFonts w:hint="eastAsia" w:ascii="仿宋" w:hAnsi="仿宋" w:eastAsia="仿宋"/>
                <w:sz w:val="22"/>
                <w:szCs w:val="22"/>
                <w:highlight w:val="none"/>
              </w:rPr>
              <w:t>电梯维保服务方案</w:t>
            </w:r>
          </w:p>
        </w:tc>
        <w:tc>
          <w:tcPr>
            <w:tcW w:w="645" w:type="dxa"/>
            <w:tcBorders>
              <w:top w:val="outset" w:color="auto" w:sz="6" w:space="0"/>
              <w:left w:val="outset" w:color="auto" w:sz="6" w:space="0"/>
              <w:bottom w:val="outset" w:color="auto" w:sz="6" w:space="0"/>
              <w:right w:val="outset" w:color="auto" w:sz="6" w:space="0"/>
            </w:tcBorders>
            <w:vAlign w:val="center"/>
          </w:tcPr>
          <w:p w14:paraId="2F817E09">
            <w:pPr>
              <w:jc w:val="center"/>
              <w:rPr>
                <w:rFonts w:hint="eastAsia" w:ascii="仿宋" w:hAnsi="仿宋" w:eastAsia="仿宋"/>
                <w:sz w:val="22"/>
                <w:szCs w:val="22"/>
                <w:highlight w:val="none"/>
              </w:rPr>
            </w:pPr>
            <w:r>
              <w:rPr>
                <w:rFonts w:hint="eastAsia" w:ascii="仿宋" w:hAnsi="仿宋" w:eastAsia="仿宋"/>
                <w:sz w:val="22"/>
                <w:szCs w:val="22"/>
                <w:highlight w:val="none"/>
              </w:rPr>
              <w:t>1</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1654805B">
            <w:pPr>
              <w:rPr>
                <w:rFonts w:hint="eastAsia" w:ascii="仿宋" w:hAnsi="仿宋" w:eastAsia="仿宋"/>
                <w:b/>
                <w:bCs/>
                <w:sz w:val="22"/>
                <w:szCs w:val="22"/>
                <w:highlight w:val="none"/>
              </w:rPr>
            </w:pPr>
            <w:r>
              <w:rPr>
                <w:rFonts w:hint="eastAsia" w:ascii="仿宋" w:hAnsi="仿宋" w:eastAsia="仿宋"/>
                <w:b/>
                <w:bCs/>
                <w:sz w:val="22"/>
                <w:szCs w:val="22"/>
                <w:highlight w:val="none"/>
              </w:rPr>
              <w:t>一、针对本项目的维保内容提供的总体维保方案，根据方案的全面性、完整性、针对性进行打分：</w:t>
            </w:r>
          </w:p>
          <w:p w14:paraId="5B6010C3">
            <w:pPr>
              <w:rPr>
                <w:rFonts w:hint="eastAsia" w:ascii="仿宋" w:hAnsi="仿宋" w:eastAsia="仿宋"/>
                <w:sz w:val="22"/>
                <w:szCs w:val="22"/>
                <w:highlight w:val="none"/>
              </w:rPr>
            </w:pPr>
            <w:r>
              <w:rPr>
                <w:rFonts w:hint="eastAsia" w:ascii="仿宋" w:hAnsi="仿宋" w:eastAsia="仿宋"/>
                <w:sz w:val="22"/>
                <w:szCs w:val="22"/>
                <w:highlight w:val="none"/>
              </w:rPr>
              <w:t>1.维保方案详细、全面，涵盖电梯半月保养、季度保养、半年保养、全年保养等各个环节，且完全符合采购需求中规定的维保项目和要求， 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52CDD994">
            <w:pPr>
              <w:rPr>
                <w:rFonts w:hint="eastAsia" w:ascii="仿宋" w:hAnsi="仿宋" w:eastAsia="仿宋"/>
                <w:sz w:val="22"/>
                <w:szCs w:val="22"/>
                <w:highlight w:val="none"/>
              </w:rPr>
            </w:pPr>
            <w:r>
              <w:rPr>
                <w:rFonts w:hint="eastAsia" w:ascii="仿宋" w:hAnsi="仿宋" w:eastAsia="仿宋"/>
                <w:sz w:val="22"/>
                <w:szCs w:val="22"/>
                <w:highlight w:val="none"/>
              </w:rPr>
              <w:t>2.维保方案基本完整，但部分内容不够详细，基本符合采购需求，得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11177151">
            <w:pPr>
              <w:rPr>
                <w:rFonts w:hint="eastAsia" w:ascii="仿宋" w:hAnsi="仿宋" w:eastAsia="仿宋"/>
                <w:sz w:val="22"/>
                <w:szCs w:val="22"/>
                <w:highlight w:val="none"/>
              </w:rPr>
            </w:pPr>
            <w:r>
              <w:rPr>
                <w:rFonts w:hint="eastAsia" w:ascii="仿宋" w:hAnsi="仿宋" w:eastAsia="仿宋"/>
                <w:sz w:val="22"/>
                <w:szCs w:val="22"/>
                <w:highlight w:val="none"/>
              </w:rPr>
              <w:t>3.维保方案内容简略，全面性、完整性、针对性都有待改善的，得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4B62DEE2">
            <w:pPr>
              <w:rPr>
                <w:rFonts w:hint="eastAsia" w:ascii="仿宋" w:hAnsi="仿宋" w:eastAsia="仿宋"/>
                <w:sz w:val="22"/>
                <w:szCs w:val="22"/>
                <w:highlight w:val="none"/>
              </w:rPr>
            </w:pPr>
            <w:r>
              <w:rPr>
                <w:rFonts w:hint="eastAsia" w:ascii="仿宋" w:hAnsi="仿宋" w:eastAsia="仿宋"/>
                <w:sz w:val="22"/>
                <w:szCs w:val="22"/>
                <w:highlight w:val="none"/>
              </w:rPr>
              <w:t>4.方案不可行或者未提供相关内容的不得分。</w:t>
            </w:r>
          </w:p>
          <w:p w14:paraId="38A65192">
            <w:pPr>
              <w:rPr>
                <w:rFonts w:hint="eastAsia" w:ascii="仿宋" w:hAnsi="仿宋" w:eastAsia="仿宋"/>
                <w:b/>
                <w:bCs/>
                <w:sz w:val="22"/>
                <w:szCs w:val="22"/>
                <w:highlight w:val="none"/>
              </w:rPr>
            </w:pPr>
            <w:r>
              <w:rPr>
                <w:rFonts w:hint="eastAsia" w:ascii="仿宋" w:hAnsi="仿宋" w:eastAsia="仿宋"/>
                <w:b/>
                <w:bCs/>
                <w:sz w:val="22"/>
                <w:szCs w:val="22"/>
                <w:highlight w:val="none"/>
              </w:rPr>
              <w:t>二、针对总体维保方案提供的实施思路及实施方案的可行性、针对性进行打分：</w:t>
            </w:r>
          </w:p>
          <w:p w14:paraId="5209F190">
            <w:pPr>
              <w:rPr>
                <w:rFonts w:hint="eastAsia" w:ascii="仿宋" w:hAnsi="仿宋" w:eastAsia="仿宋"/>
                <w:sz w:val="22"/>
                <w:szCs w:val="22"/>
                <w:highlight w:val="none"/>
              </w:rPr>
            </w:pPr>
            <w:r>
              <w:rPr>
                <w:rFonts w:hint="eastAsia" w:ascii="仿宋" w:hAnsi="仿宋" w:eastAsia="仿宋"/>
                <w:sz w:val="22"/>
                <w:szCs w:val="22"/>
                <w:highlight w:val="none"/>
              </w:rPr>
              <w:t>1.针对总体维保方案，有详细完整的实施思路及实施方案，可行性、针对性强的，得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263BAF75">
            <w:pPr>
              <w:rPr>
                <w:rFonts w:hint="eastAsia" w:ascii="仿宋" w:hAnsi="仿宋" w:eastAsia="仿宋"/>
                <w:sz w:val="22"/>
                <w:szCs w:val="22"/>
                <w:highlight w:val="none"/>
              </w:rPr>
            </w:pPr>
            <w:r>
              <w:rPr>
                <w:rFonts w:hint="eastAsia" w:ascii="仿宋" w:hAnsi="仿宋" w:eastAsia="仿宋"/>
                <w:sz w:val="22"/>
                <w:szCs w:val="22"/>
                <w:highlight w:val="none"/>
              </w:rPr>
              <w:t>2.针对总体维保方案，实施思路及实施方案内容基本适合本项目采购需求，具有可行性和针对性的，得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1B85DC40">
            <w:pPr>
              <w:rPr>
                <w:rFonts w:hint="eastAsia" w:ascii="仿宋" w:hAnsi="仿宋" w:eastAsia="仿宋"/>
                <w:sz w:val="22"/>
                <w:szCs w:val="22"/>
                <w:highlight w:val="none"/>
              </w:rPr>
            </w:pPr>
            <w:r>
              <w:rPr>
                <w:rFonts w:hint="eastAsia" w:ascii="仿宋" w:hAnsi="仿宋" w:eastAsia="仿宋"/>
                <w:sz w:val="22"/>
                <w:szCs w:val="22"/>
                <w:highlight w:val="none"/>
              </w:rPr>
              <w:t>3.针对总体维保方案，实施思路及实施方案内容简单，可行性、针对性有待改善的，得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48AC1FF3">
            <w:pPr>
              <w:rPr>
                <w:rFonts w:hint="eastAsia" w:ascii="仿宋" w:hAnsi="仿宋" w:eastAsia="仿宋"/>
                <w:sz w:val="22"/>
                <w:szCs w:val="22"/>
                <w:highlight w:val="none"/>
              </w:rPr>
            </w:pPr>
            <w:r>
              <w:rPr>
                <w:rFonts w:hint="eastAsia" w:ascii="仿宋" w:hAnsi="仿宋" w:eastAsia="仿宋"/>
                <w:sz w:val="22"/>
                <w:szCs w:val="22"/>
                <w:highlight w:val="none"/>
              </w:rPr>
              <w:t>4.方案不可行或者未提供相关内容的不得分。</w:t>
            </w:r>
          </w:p>
        </w:tc>
      </w:tr>
      <w:tr w14:paraId="4DAAB5A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0C92788B">
            <w:pPr>
              <w:jc w:val="center"/>
              <w:rPr>
                <w:rFonts w:hint="eastAsia" w:ascii="仿宋" w:hAnsi="仿宋" w:eastAsia="仿宋"/>
                <w:sz w:val="22"/>
                <w:szCs w:val="22"/>
                <w:highlight w:val="none"/>
              </w:rPr>
            </w:pPr>
            <w:r>
              <w:rPr>
                <w:rFonts w:ascii="仿宋" w:hAnsi="仿宋" w:eastAsia="仿宋"/>
                <w:sz w:val="22"/>
                <w:szCs w:val="22"/>
                <w:highlight w:val="none"/>
              </w:rPr>
              <w:t>维保服务进度计</w:t>
            </w:r>
            <w:r>
              <w:rPr>
                <w:rFonts w:hint="eastAsia" w:ascii="仿宋" w:hAnsi="仿宋" w:eastAsia="仿宋"/>
                <w:sz w:val="22"/>
                <w:szCs w:val="22"/>
                <w:highlight w:val="none"/>
              </w:rPr>
              <w:t>划实施</w:t>
            </w:r>
          </w:p>
        </w:tc>
        <w:tc>
          <w:tcPr>
            <w:tcW w:w="645" w:type="dxa"/>
            <w:tcBorders>
              <w:top w:val="outset" w:color="auto" w:sz="6" w:space="0"/>
              <w:left w:val="outset" w:color="auto" w:sz="6" w:space="0"/>
              <w:bottom w:val="outset" w:color="auto" w:sz="6" w:space="0"/>
              <w:right w:val="outset" w:color="auto" w:sz="6" w:space="0"/>
            </w:tcBorders>
            <w:vAlign w:val="center"/>
          </w:tcPr>
          <w:p w14:paraId="6A2721EB">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23769A65">
            <w:pPr>
              <w:rPr>
                <w:rFonts w:hint="eastAsia" w:ascii="仿宋" w:hAnsi="仿宋" w:eastAsia="仿宋"/>
                <w:sz w:val="22"/>
                <w:szCs w:val="22"/>
                <w:highlight w:val="none"/>
              </w:rPr>
            </w:pPr>
            <w:r>
              <w:rPr>
                <w:rFonts w:ascii="仿宋" w:hAnsi="仿宋" w:eastAsia="仿宋"/>
                <w:sz w:val="22"/>
                <w:szCs w:val="22"/>
                <w:highlight w:val="none"/>
              </w:rPr>
              <w:t>针对本项目进度管理方案及措施进行评审：</w:t>
            </w:r>
          </w:p>
          <w:p w14:paraId="67907F94">
            <w:pPr>
              <w:rPr>
                <w:rFonts w:hint="eastAsia" w:ascii="仿宋" w:hAnsi="仿宋" w:eastAsia="仿宋"/>
                <w:sz w:val="22"/>
                <w:szCs w:val="22"/>
                <w:highlight w:val="none"/>
              </w:rPr>
            </w:pPr>
            <w:r>
              <w:rPr>
                <w:rFonts w:hint="eastAsia" w:ascii="仿宋" w:hAnsi="仿宋" w:eastAsia="仿宋"/>
                <w:sz w:val="22"/>
                <w:szCs w:val="22"/>
                <w:highlight w:val="none"/>
              </w:rPr>
              <w:t>1.有详细的进度管理实施计划和应对措施，流程、时间顺序安排合理高效、资源配置合理，得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6D06A0F9">
            <w:pPr>
              <w:rPr>
                <w:rFonts w:hint="eastAsia" w:ascii="仿宋" w:hAnsi="仿宋" w:eastAsia="仿宋"/>
                <w:sz w:val="22"/>
                <w:szCs w:val="22"/>
                <w:highlight w:val="none"/>
              </w:rPr>
            </w:pPr>
            <w:r>
              <w:rPr>
                <w:rFonts w:hint="eastAsia" w:ascii="仿宋" w:hAnsi="仿宋" w:eastAsia="仿宋"/>
                <w:sz w:val="22"/>
                <w:szCs w:val="22"/>
                <w:highlight w:val="none"/>
              </w:rPr>
              <w:t>2.进度管理明确、可行，有实施进度计划且符合实际情况，得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505C2F44">
            <w:pPr>
              <w:rPr>
                <w:rFonts w:hint="eastAsia" w:ascii="仿宋" w:hAnsi="仿宋" w:eastAsia="仿宋"/>
                <w:sz w:val="22"/>
                <w:szCs w:val="22"/>
                <w:highlight w:val="none"/>
              </w:rPr>
            </w:pPr>
            <w:r>
              <w:rPr>
                <w:rFonts w:hint="eastAsia" w:ascii="仿宋" w:hAnsi="仿宋" w:eastAsia="仿宋"/>
                <w:sz w:val="22"/>
                <w:szCs w:val="22"/>
                <w:highlight w:val="none"/>
              </w:rPr>
              <w:t>3.进度实施计划部分满足项目实际使用需求，有待提高和改善，得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1BF97FDB">
            <w:pPr>
              <w:rPr>
                <w:rFonts w:hint="eastAsia" w:ascii="仿宋" w:hAnsi="仿宋" w:eastAsia="仿宋"/>
                <w:sz w:val="22"/>
                <w:szCs w:val="22"/>
                <w:highlight w:val="none"/>
              </w:rPr>
            </w:pPr>
            <w:r>
              <w:rPr>
                <w:rFonts w:hint="eastAsia" w:ascii="仿宋" w:hAnsi="仿宋" w:eastAsia="仿宋"/>
                <w:sz w:val="22"/>
                <w:szCs w:val="22"/>
                <w:highlight w:val="none"/>
              </w:rPr>
              <w:t>4.方案不可行或者未提供相关内容的不得分。</w:t>
            </w:r>
          </w:p>
        </w:tc>
      </w:tr>
      <w:tr w14:paraId="1B9EB97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29085B68">
            <w:pPr>
              <w:jc w:val="center"/>
              <w:rPr>
                <w:rFonts w:hint="eastAsia" w:ascii="仿宋" w:hAnsi="仿宋" w:eastAsia="仿宋"/>
                <w:sz w:val="22"/>
                <w:szCs w:val="22"/>
                <w:highlight w:val="none"/>
              </w:rPr>
            </w:pPr>
            <w:r>
              <w:rPr>
                <w:rFonts w:ascii="仿宋" w:hAnsi="仿宋" w:eastAsia="仿宋"/>
                <w:sz w:val="22"/>
                <w:szCs w:val="22"/>
                <w:highlight w:val="none"/>
              </w:rPr>
              <w:t>设备排查、承接</w:t>
            </w:r>
            <w:r>
              <w:rPr>
                <w:rFonts w:hint="eastAsia" w:ascii="仿宋" w:hAnsi="仿宋" w:eastAsia="仿宋"/>
                <w:sz w:val="22"/>
                <w:szCs w:val="22"/>
                <w:highlight w:val="none"/>
              </w:rPr>
              <w:t>方案</w:t>
            </w:r>
          </w:p>
        </w:tc>
        <w:tc>
          <w:tcPr>
            <w:tcW w:w="645" w:type="dxa"/>
            <w:tcBorders>
              <w:top w:val="outset" w:color="auto" w:sz="6" w:space="0"/>
              <w:left w:val="outset" w:color="auto" w:sz="6" w:space="0"/>
              <w:bottom w:val="outset" w:color="auto" w:sz="6" w:space="0"/>
              <w:right w:val="outset" w:color="auto" w:sz="6" w:space="0"/>
            </w:tcBorders>
            <w:vAlign w:val="center"/>
          </w:tcPr>
          <w:p w14:paraId="40A7690B">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2B0E034C">
            <w:pPr>
              <w:rPr>
                <w:rFonts w:hint="eastAsia" w:ascii="仿宋" w:hAnsi="仿宋" w:eastAsia="仿宋"/>
                <w:sz w:val="22"/>
                <w:szCs w:val="22"/>
                <w:highlight w:val="none"/>
              </w:rPr>
            </w:pPr>
            <w:r>
              <w:rPr>
                <w:rFonts w:ascii="仿宋" w:hAnsi="仿宋" w:eastAsia="仿宋"/>
                <w:sz w:val="22"/>
                <w:szCs w:val="22"/>
                <w:highlight w:val="none"/>
              </w:rPr>
              <w:t>为推进本项目实施，供应商进场前对电梯设备进行必要的设备排</w:t>
            </w:r>
            <w:r>
              <w:rPr>
                <w:rFonts w:hint="eastAsia" w:ascii="仿宋" w:hAnsi="仿宋" w:eastAsia="仿宋"/>
                <w:sz w:val="22"/>
                <w:szCs w:val="22"/>
                <w:highlight w:val="none"/>
              </w:rPr>
              <w:t>查、承接方案等。包括对设施设备的安全排查、承接的计划安排、时间安排及具体方案等内容。本项由评标委员会根据本项目特点及供应商响应文件比较分析评定得分。</w:t>
            </w:r>
          </w:p>
          <w:p w14:paraId="6B4EFE32">
            <w:pPr>
              <w:rPr>
                <w:rFonts w:hint="eastAsia" w:ascii="仿宋" w:hAnsi="仿宋" w:eastAsia="仿宋"/>
                <w:sz w:val="22"/>
                <w:szCs w:val="22"/>
                <w:highlight w:val="none"/>
              </w:rPr>
            </w:pPr>
            <w:r>
              <w:rPr>
                <w:rFonts w:hint="eastAsia" w:ascii="仿宋" w:hAnsi="仿宋" w:eastAsia="仿宋"/>
                <w:sz w:val="22"/>
                <w:szCs w:val="22"/>
                <w:highlight w:val="none"/>
              </w:rPr>
              <w:t>1.方案紧密结合实际，针对性、可操作性、协调性和有效性高，得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0BF253C4">
            <w:pPr>
              <w:rPr>
                <w:rFonts w:hint="eastAsia" w:ascii="仿宋" w:hAnsi="仿宋" w:eastAsia="仿宋"/>
                <w:sz w:val="22"/>
                <w:szCs w:val="22"/>
                <w:highlight w:val="none"/>
              </w:rPr>
            </w:pPr>
            <w:r>
              <w:rPr>
                <w:rFonts w:hint="eastAsia" w:ascii="仿宋" w:hAnsi="仿宋" w:eastAsia="仿宋"/>
                <w:sz w:val="22"/>
                <w:szCs w:val="22"/>
                <w:highlight w:val="none"/>
              </w:rPr>
              <w:t>2.方案基本结合实际，有针对性、可操作性、协调性和有效性，得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70F593BB">
            <w:pPr>
              <w:rPr>
                <w:rFonts w:hint="eastAsia" w:ascii="仿宋" w:hAnsi="仿宋" w:eastAsia="仿宋"/>
                <w:sz w:val="22"/>
                <w:szCs w:val="22"/>
                <w:highlight w:val="none"/>
              </w:rPr>
            </w:pPr>
            <w:r>
              <w:rPr>
                <w:rFonts w:hint="eastAsia" w:ascii="仿宋" w:hAnsi="仿宋" w:eastAsia="仿宋"/>
                <w:sz w:val="22"/>
                <w:szCs w:val="22"/>
                <w:highlight w:val="none"/>
              </w:rPr>
              <w:t>3.方案内容针对性、可操作性、协调性和有效性有待改善的，得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23B6170B">
            <w:pPr>
              <w:rPr>
                <w:rFonts w:hint="eastAsia" w:ascii="仿宋" w:hAnsi="仿宋" w:eastAsia="仿宋"/>
                <w:sz w:val="22"/>
                <w:szCs w:val="22"/>
                <w:highlight w:val="none"/>
              </w:rPr>
            </w:pPr>
            <w:r>
              <w:rPr>
                <w:rFonts w:hint="eastAsia" w:ascii="仿宋" w:hAnsi="仿宋" w:eastAsia="仿宋"/>
                <w:sz w:val="22"/>
                <w:szCs w:val="22"/>
                <w:highlight w:val="none"/>
              </w:rPr>
              <w:t>4.方案不可行或未提供不得分。</w:t>
            </w:r>
          </w:p>
        </w:tc>
      </w:tr>
      <w:tr w14:paraId="7A8180F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333EEEF7">
            <w:pPr>
              <w:jc w:val="center"/>
              <w:rPr>
                <w:rFonts w:hint="eastAsia" w:ascii="仿宋" w:hAnsi="仿宋" w:eastAsia="仿宋"/>
                <w:sz w:val="22"/>
                <w:szCs w:val="22"/>
                <w:highlight w:val="none"/>
              </w:rPr>
            </w:pPr>
            <w:r>
              <w:rPr>
                <w:rFonts w:hint="eastAsia" w:ascii="宋体" w:hAnsi="宋体" w:eastAsia="宋体" w:cs="宋体"/>
                <w:highlight w:val="none"/>
                <w:lang w:val="en-US" w:eastAsia="zh-CN"/>
              </w:rPr>
              <w:t>技术力量</w:t>
            </w:r>
          </w:p>
        </w:tc>
        <w:tc>
          <w:tcPr>
            <w:tcW w:w="645" w:type="dxa"/>
            <w:tcBorders>
              <w:top w:val="outset" w:color="auto" w:sz="6" w:space="0"/>
              <w:left w:val="outset" w:color="auto" w:sz="6" w:space="0"/>
              <w:bottom w:val="outset" w:color="auto" w:sz="6" w:space="0"/>
              <w:right w:val="outset" w:color="auto" w:sz="6" w:space="0"/>
            </w:tcBorders>
            <w:vAlign w:val="center"/>
          </w:tcPr>
          <w:p w14:paraId="10624B8E">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5CD2B0F7">
            <w:pPr>
              <w:rPr>
                <w:rFonts w:hint="eastAsia" w:ascii="仿宋" w:hAnsi="仿宋" w:eastAsia="仿宋"/>
                <w:sz w:val="22"/>
                <w:szCs w:val="22"/>
                <w:highlight w:val="none"/>
              </w:rPr>
            </w:pPr>
            <w:r>
              <w:rPr>
                <w:rFonts w:hint="eastAsia" w:ascii="仿宋" w:hAnsi="仿宋" w:eastAsia="仿宋"/>
                <w:sz w:val="22"/>
                <w:szCs w:val="22"/>
                <w:highlight w:val="none"/>
              </w:rPr>
              <w:t>评标委员会对</w:t>
            </w:r>
            <w:r>
              <w:rPr>
                <w:rFonts w:hint="eastAsia" w:ascii="仿宋" w:hAnsi="仿宋" w:eastAsia="仿宋"/>
                <w:sz w:val="22"/>
                <w:szCs w:val="22"/>
                <w:highlight w:val="none"/>
                <w:lang w:eastAsia="zh-CN"/>
              </w:rPr>
              <w:t>拟派任</w:t>
            </w:r>
            <w:r>
              <w:rPr>
                <w:rFonts w:hint="eastAsia" w:ascii="仿宋" w:hAnsi="仿宋" w:eastAsia="仿宋"/>
                <w:sz w:val="22"/>
                <w:szCs w:val="22"/>
                <w:highlight w:val="none"/>
              </w:rPr>
              <w:t>项目的维保人员</w:t>
            </w:r>
            <w:r>
              <w:rPr>
                <w:rFonts w:hint="eastAsia" w:ascii="仿宋" w:hAnsi="仿宋" w:eastAsia="仿宋"/>
                <w:sz w:val="22"/>
                <w:szCs w:val="22"/>
                <w:highlight w:val="none"/>
                <w:lang w:eastAsia="zh-CN"/>
              </w:rPr>
              <w:t>的</w:t>
            </w:r>
            <w:r>
              <w:rPr>
                <w:rFonts w:hint="eastAsia" w:ascii="仿宋" w:hAnsi="仿宋" w:eastAsia="仿宋"/>
                <w:sz w:val="22"/>
                <w:szCs w:val="22"/>
                <w:highlight w:val="none"/>
              </w:rPr>
              <w:t>专业</w:t>
            </w:r>
            <w:r>
              <w:rPr>
                <w:rFonts w:hint="eastAsia" w:ascii="仿宋" w:hAnsi="仿宋" w:eastAsia="仿宋"/>
                <w:sz w:val="22"/>
                <w:szCs w:val="22"/>
                <w:highlight w:val="none"/>
                <w:lang w:eastAsia="zh-CN"/>
              </w:rPr>
              <w:t>性</w:t>
            </w:r>
            <w:r>
              <w:rPr>
                <w:rFonts w:hint="eastAsia" w:ascii="仿宋" w:hAnsi="仿宋" w:eastAsia="仿宋"/>
                <w:sz w:val="22"/>
                <w:szCs w:val="22"/>
                <w:highlight w:val="none"/>
              </w:rPr>
              <w:t>（提供</w:t>
            </w:r>
            <w:r>
              <w:rPr>
                <w:rFonts w:hint="eastAsia" w:ascii="仿宋" w:hAnsi="仿宋" w:eastAsia="仿宋"/>
                <w:sz w:val="22"/>
                <w:szCs w:val="22"/>
                <w:highlight w:val="none"/>
                <w:lang w:eastAsia="zh-CN"/>
              </w:rPr>
              <w:t>拟派任</w:t>
            </w:r>
            <w:r>
              <w:rPr>
                <w:rFonts w:hint="eastAsia" w:ascii="仿宋" w:hAnsi="仿宋" w:eastAsia="仿宋"/>
                <w:sz w:val="22"/>
                <w:szCs w:val="22"/>
                <w:highlight w:val="none"/>
              </w:rPr>
              <w:t>项目维保人员配置</w:t>
            </w:r>
            <w:r>
              <w:rPr>
                <w:rFonts w:hint="eastAsia" w:ascii="仿宋" w:hAnsi="仿宋" w:eastAsia="仿宋"/>
                <w:sz w:val="22"/>
                <w:szCs w:val="22"/>
                <w:highlight w:val="none"/>
                <w:lang w:eastAsia="zh-CN"/>
              </w:rPr>
              <w:t>清单、特种设备证书等证明资料</w:t>
            </w:r>
            <w:r>
              <w:rPr>
                <w:rFonts w:hint="eastAsia" w:ascii="仿宋" w:hAnsi="仿宋" w:eastAsia="仿宋"/>
                <w:sz w:val="22"/>
                <w:szCs w:val="22"/>
                <w:highlight w:val="none"/>
              </w:rPr>
              <w:t>）进行综合评价，</w:t>
            </w:r>
          </w:p>
          <w:p w14:paraId="01512ABF">
            <w:pPr>
              <w:rPr>
                <w:rFonts w:hint="eastAsia" w:ascii="仿宋" w:hAnsi="仿宋" w:eastAsia="仿宋"/>
                <w:sz w:val="22"/>
                <w:szCs w:val="22"/>
                <w:highlight w:val="none"/>
              </w:rPr>
            </w:pPr>
            <w:r>
              <w:rPr>
                <w:rFonts w:hint="eastAsia" w:ascii="仿宋" w:hAnsi="仿宋" w:eastAsia="仿宋"/>
                <w:sz w:val="22"/>
                <w:szCs w:val="22"/>
                <w:highlight w:val="none"/>
                <w:lang w:eastAsia="zh-CN"/>
              </w:rPr>
              <w:t>拟派任</w:t>
            </w:r>
            <w:r>
              <w:rPr>
                <w:rFonts w:hint="eastAsia" w:ascii="仿宋" w:hAnsi="仿宋" w:eastAsia="仿宋"/>
                <w:sz w:val="22"/>
                <w:szCs w:val="22"/>
                <w:highlight w:val="none"/>
              </w:rPr>
              <w:t>项目的维保人员、项目管理人员及企业主要技术人员岗位职责、分工合理，人员配备齐全、专业技术过硬，得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628BCC23">
            <w:pPr>
              <w:rPr>
                <w:rFonts w:hint="eastAsia" w:ascii="仿宋" w:hAnsi="仿宋" w:eastAsia="仿宋"/>
                <w:sz w:val="22"/>
                <w:szCs w:val="22"/>
                <w:highlight w:val="none"/>
              </w:rPr>
            </w:pPr>
            <w:r>
              <w:rPr>
                <w:rFonts w:hint="eastAsia" w:ascii="仿宋" w:hAnsi="仿宋" w:eastAsia="仿宋"/>
                <w:sz w:val="22"/>
                <w:szCs w:val="22"/>
                <w:highlight w:val="none"/>
                <w:lang w:eastAsia="zh-CN"/>
              </w:rPr>
              <w:t>拟派任</w:t>
            </w:r>
            <w:r>
              <w:rPr>
                <w:rFonts w:hint="eastAsia" w:ascii="仿宋" w:hAnsi="仿宋" w:eastAsia="仿宋"/>
                <w:sz w:val="22"/>
                <w:szCs w:val="22"/>
                <w:highlight w:val="none"/>
              </w:rPr>
              <w:t>项目的维保人员、项目管理人员及企业主要技术人员岗位职责、分工较合理，人员配备较齐全、专业技术较好，得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011C7C68">
            <w:pPr>
              <w:rPr>
                <w:rFonts w:hint="eastAsia" w:ascii="仿宋" w:hAnsi="仿宋" w:eastAsia="仿宋"/>
                <w:sz w:val="22"/>
                <w:szCs w:val="22"/>
                <w:highlight w:val="none"/>
              </w:rPr>
            </w:pPr>
            <w:r>
              <w:rPr>
                <w:rFonts w:hint="eastAsia" w:ascii="仿宋" w:hAnsi="仿宋" w:eastAsia="仿宋"/>
                <w:sz w:val="22"/>
                <w:szCs w:val="22"/>
                <w:highlight w:val="none"/>
                <w:lang w:eastAsia="zh-CN"/>
              </w:rPr>
              <w:t>拟派任</w:t>
            </w:r>
            <w:r>
              <w:rPr>
                <w:rFonts w:hint="eastAsia" w:ascii="仿宋" w:hAnsi="仿宋" w:eastAsia="仿宋"/>
                <w:sz w:val="22"/>
                <w:szCs w:val="22"/>
                <w:highlight w:val="none"/>
              </w:rPr>
              <w:t>项目的维保人员、项目管理人员及企业主要技术人员岗位职责、分工基本合理，人员配备基本齐全、专业技术基本合理，得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3D9774FF">
            <w:pPr>
              <w:rPr>
                <w:rFonts w:hint="eastAsia" w:ascii="仿宋" w:hAnsi="仿宋" w:eastAsia="仿宋"/>
                <w:sz w:val="22"/>
                <w:szCs w:val="22"/>
                <w:highlight w:val="none"/>
              </w:rPr>
            </w:pPr>
            <w:r>
              <w:rPr>
                <w:rFonts w:hint="eastAsia" w:ascii="仿宋" w:hAnsi="仿宋" w:eastAsia="仿宋"/>
                <w:sz w:val="22"/>
                <w:szCs w:val="22"/>
                <w:highlight w:val="none"/>
                <w:lang w:eastAsia="zh-CN"/>
              </w:rPr>
              <w:t>拟派任</w:t>
            </w:r>
            <w:r>
              <w:rPr>
                <w:rFonts w:hint="eastAsia" w:ascii="仿宋" w:hAnsi="仿宋" w:eastAsia="仿宋"/>
                <w:sz w:val="22"/>
                <w:szCs w:val="22"/>
                <w:highlight w:val="none"/>
              </w:rPr>
              <w:t>项目的维保人员、项目管理人员及企业主要技术人员岗位职责、分工，人员配备、专业技术有缺陷或未提供不得分；</w:t>
            </w:r>
          </w:p>
        </w:tc>
      </w:tr>
      <w:tr w14:paraId="0DAF713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553DCF9C">
            <w:pPr>
              <w:jc w:val="center"/>
              <w:rPr>
                <w:rFonts w:hint="eastAsia" w:ascii="仿宋" w:hAnsi="仿宋" w:eastAsia="仿宋"/>
                <w:sz w:val="22"/>
                <w:szCs w:val="22"/>
                <w:highlight w:val="none"/>
              </w:rPr>
            </w:pPr>
            <w:r>
              <w:rPr>
                <w:rFonts w:ascii="仿宋" w:hAnsi="仿宋" w:eastAsia="仿宋"/>
                <w:sz w:val="22"/>
                <w:szCs w:val="22"/>
                <w:highlight w:val="none"/>
              </w:rPr>
              <w:t>维保服务保障措</w:t>
            </w:r>
            <w:r>
              <w:rPr>
                <w:rFonts w:hint="eastAsia" w:ascii="仿宋" w:hAnsi="仿宋" w:eastAsia="仿宋"/>
                <w:sz w:val="22"/>
                <w:szCs w:val="22"/>
                <w:highlight w:val="none"/>
              </w:rPr>
              <w:t>施</w:t>
            </w:r>
          </w:p>
        </w:tc>
        <w:tc>
          <w:tcPr>
            <w:tcW w:w="645" w:type="dxa"/>
            <w:tcBorders>
              <w:top w:val="outset" w:color="auto" w:sz="6" w:space="0"/>
              <w:left w:val="outset" w:color="auto" w:sz="6" w:space="0"/>
              <w:bottom w:val="outset" w:color="auto" w:sz="6" w:space="0"/>
              <w:right w:val="outset" w:color="auto" w:sz="6" w:space="0"/>
            </w:tcBorders>
            <w:vAlign w:val="center"/>
          </w:tcPr>
          <w:p w14:paraId="3F5276F4">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19DDDDFF">
            <w:pPr>
              <w:rPr>
                <w:rFonts w:hint="eastAsia" w:ascii="仿宋" w:hAnsi="仿宋" w:eastAsia="仿宋"/>
                <w:sz w:val="22"/>
                <w:szCs w:val="22"/>
                <w:highlight w:val="none"/>
              </w:rPr>
            </w:pPr>
            <w:r>
              <w:rPr>
                <w:rFonts w:ascii="仿宋" w:hAnsi="仿宋" w:eastAsia="仿宋"/>
                <w:sz w:val="22"/>
                <w:szCs w:val="22"/>
                <w:highlight w:val="none"/>
              </w:rPr>
              <w:t>主要包括维保期内响应各项电梯检查；定期自查、排查安全隐患；</w:t>
            </w:r>
            <w:r>
              <w:rPr>
                <w:rFonts w:hint="eastAsia" w:ascii="仿宋" w:hAnsi="仿宋" w:eastAsia="仿宋"/>
                <w:sz w:val="22"/>
                <w:szCs w:val="22"/>
                <w:highlight w:val="none"/>
              </w:rPr>
              <w:t>维保服务作业流程安排等。</w:t>
            </w:r>
          </w:p>
          <w:p w14:paraId="0C4852F3">
            <w:pPr>
              <w:rPr>
                <w:rFonts w:hint="eastAsia" w:ascii="仿宋" w:hAnsi="仿宋" w:eastAsia="仿宋"/>
                <w:sz w:val="22"/>
                <w:szCs w:val="22"/>
                <w:highlight w:val="none"/>
              </w:rPr>
            </w:pPr>
            <w:r>
              <w:rPr>
                <w:rFonts w:hint="eastAsia" w:ascii="仿宋" w:hAnsi="仿宋" w:eastAsia="仿宋"/>
                <w:sz w:val="22"/>
                <w:szCs w:val="22"/>
                <w:highlight w:val="none"/>
              </w:rPr>
              <w:t>1.服务保障措施充分、符合项目需求、可行性及针对性强、内容完整，得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7CC7329C">
            <w:pPr>
              <w:rPr>
                <w:rFonts w:hint="eastAsia" w:ascii="仿宋" w:hAnsi="仿宋" w:eastAsia="仿宋"/>
                <w:sz w:val="22"/>
                <w:szCs w:val="22"/>
                <w:highlight w:val="none"/>
              </w:rPr>
            </w:pPr>
            <w:r>
              <w:rPr>
                <w:rFonts w:hint="eastAsia" w:ascii="仿宋" w:hAnsi="仿宋" w:eastAsia="仿宋"/>
                <w:sz w:val="22"/>
                <w:szCs w:val="22"/>
                <w:highlight w:val="none"/>
              </w:rPr>
              <w:t>2.服务保障措施符合项目需求、可行性及针对性较强、内容较完整，得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34D5BB09">
            <w:pPr>
              <w:rPr>
                <w:rFonts w:hint="eastAsia" w:ascii="仿宋" w:hAnsi="仿宋" w:eastAsia="仿宋"/>
                <w:sz w:val="22"/>
                <w:szCs w:val="22"/>
                <w:highlight w:val="none"/>
              </w:rPr>
            </w:pPr>
            <w:r>
              <w:rPr>
                <w:rFonts w:hint="eastAsia" w:ascii="仿宋" w:hAnsi="仿宋" w:eastAsia="仿宋"/>
                <w:sz w:val="22"/>
                <w:szCs w:val="22"/>
                <w:highlight w:val="none"/>
              </w:rPr>
              <w:t>3.服务保障措施基本符合项目需求、可行性及针对性有待改善、得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597C394F">
            <w:pPr>
              <w:rPr>
                <w:rFonts w:hint="eastAsia" w:ascii="仿宋" w:hAnsi="仿宋" w:eastAsia="仿宋"/>
                <w:sz w:val="22"/>
                <w:szCs w:val="22"/>
                <w:highlight w:val="none"/>
              </w:rPr>
            </w:pPr>
            <w:r>
              <w:rPr>
                <w:rFonts w:hint="eastAsia" w:ascii="仿宋" w:hAnsi="仿宋" w:eastAsia="仿宋"/>
                <w:sz w:val="22"/>
                <w:szCs w:val="22"/>
                <w:highlight w:val="none"/>
              </w:rPr>
              <w:t>4.方案不可行或未提供不得分。</w:t>
            </w:r>
          </w:p>
        </w:tc>
      </w:tr>
      <w:tr w14:paraId="629C18A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1E979CA2">
            <w:pPr>
              <w:jc w:val="center"/>
              <w:rPr>
                <w:rFonts w:hint="eastAsia" w:ascii="仿宋" w:hAnsi="仿宋" w:eastAsia="仿宋"/>
                <w:sz w:val="22"/>
                <w:szCs w:val="22"/>
                <w:highlight w:val="none"/>
              </w:rPr>
            </w:pPr>
            <w:r>
              <w:rPr>
                <w:rFonts w:ascii="仿宋" w:hAnsi="仿宋" w:eastAsia="仿宋"/>
                <w:sz w:val="22"/>
                <w:szCs w:val="22"/>
                <w:highlight w:val="none"/>
              </w:rPr>
              <w:t>资料管理制度及</w:t>
            </w:r>
            <w:r>
              <w:rPr>
                <w:rFonts w:hint="eastAsia" w:ascii="仿宋" w:hAnsi="仿宋" w:eastAsia="仿宋"/>
                <w:sz w:val="22"/>
                <w:szCs w:val="22"/>
                <w:highlight w:val="none"/>
              </w:rPr>
              <w:t>措施</w:t>
            </w:r>
          </w:p>
        </w:tc>
        <w:tc>
          <w:tcPr>
            <w:tcW w:w="645" w:type="dxa"/>
            <w:tcBorders>
              <w:top w:val="outset" w:color="auto" w:sz="6" w:space="0"/>
              <w:left w:val="outset" w:color="auto" w:sz="6" w:space="0"/>
              <w:bottom w:val="outset" w:color="auto" w:sz="6" w:space="0"/>
              <w:right w:val="outset" w:color="auto" w:sz="6" w:space="0"/>
            </w:tcBorders>
            <w:vAlign w:val="center"/>
          </w:tcPr>
          <w:p w14:paraId="3960AF2B">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2CA5343D">
            <w:pPr>
              <w:rPr>
                <w:rFonts w:hint="eastAsia" w:ascii="仿宋" w:hAnsi="仿宋" w:eastAsia="仿宋"/>
                <w:sz w:val="22"/>
                <w:szCs w:val="22"/>
                <w:highlight w:val="none"/>
              </w:rPr>
            </w:pPr>
            <w:r>
              <w:rPr>
                <w:rFonts w:ascii="仿宋" w:hAnsi="仿宋" w:eastAsia="仿宋"/>
                <w:sz w:val="22"/>
                <w:szCs w:val="22"/>
                <w:highlight w:val="none"/>
              </w:rPr>
              <w:t>对供应商需根据项目特点提供相应的资料管理制度，做好资料的</w:t>
            </w:r>
            <w:r>
              <w:rPr>
                <w:rFonts w:hint="eastAsia" w:ascii="仿宋" w:hAnsi="仿宋" w:eastAsia="仿宋"/>
                <w:sz w:val="22"/>
                <w:szCs w:val="22"/>
                <w:highlight w:val="none"/>
              </w:rPr>
              <w:t>发放、收集和存档工作，加强项目资料管理，内容包括但不限于资料搜集、保管、提供、销毁等控制措施等。</w:t>
            </w:r>
          </w:p>
          <w:p w14:paraId="58D1C899">
            <w:pPr>
              <w:rPr>
                <w:rFonts w:hint="eastAsia" w:ascii="仿宋" w:hAnsi="仿宋" w:eastAsia="仿宋"/>
                <w:sz w:val="22"/>
                <w:szCs w:val="22"/>
                <w:highlight w:val="none"/>
              </w:rPr>
            </w:pPr>
            <w:r>
              <w:rPr>
                <w:rFonts w:hint="eastAsia" w:ascii="仿宋" w:hAnsi="仿宋" w:eastAsia="仿宋"/>
                <w:sz w:val="22"/>
                <w:szCs w:val="22"/>
                <w:highlight w:val="none"/>
              </w:rPr>
              <w:t>1.管理制度规范完善、科学合理、内容完整得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03097784">
            <w:pPr>
              <w:rPr>
                <w:rFonts w:hint="eastAsia" w:ascii="仿宋" w:hAnsi="仿宋" w:eastAsia="仿宋"/>
                <w:sz w:val="22"/>
                <w:szCs w:val="22"/>
                <w:highlight w:val="none"/>
              </w:rPr>
            </w:pPr>
            <w:r>
              <w:rPr>
                <w:rFonts w:hint="eastAsia" w:ascii="仿宋" w:hAnsi="仿宋" w:eastAsia="仿宋"/>
                <w:sz w:val="22"/>
                <w:szCs w:val="22"/>
                <w:highlight w:val="none"/>
              </w:rPr>
              <w:t>2.管理制度规范较完善、较合理、内容较完整得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1D3AC5F1">
            <w:pPr>
              <w:rPr>
                <w:rFonts w:hint="eastAsia" w:ascii="仿宋" w:hAnsi="仿宋" w:eastAsia="仿宋"/>
                <w:sz w:val="22"/>
                <w:szCs w:val="22"/>
                <w:highlight w:val="none"/>
              </w:rPr>
            </w:pPr>
            <w:r>
              <w:rPr>
                <w:rFonts w:hint="eastAsia" w:ascii="仿宋" w:hAnsi="仿宋" w:eastAsia="仿宋"/>
                <w:sz w:val="22"/>
                <w:szCs w:val="22"/>
                <w:highlight w:val="none"/>
              </w:rPr>
              <w:t>3.资料管理制度及措施有待改善，得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363677BB">
            <w:pPr>
              <w:rPr>
                <w:rFonts w:hint="eastAsia" w:ascii="仿宋" w:hAnsi="仿宋" w:eastAsia="仿宋"/>
                <w:sz w:val="22"/>
                <w:szCs w:val="22"/>
                <w:highlight w:val="none"/>
              </w:rPr>
            </w:pPr>
            <w:r>
              <w:rPr>
                <w:rFonts w:hint="eastAsia" w:ascii="仿宋" w:hAnsi="仿宋" w:eastAsia="仿宋"/>
                <w:sz w:val="22"/>
                <w:szCs w:val="22"/>
                <w:highlight w:val="none"/>
              </w:rPr>
              <w:t>4.方案不可行或未提供不得分。</w:t>
            </w:r>
          </w:p>
        </w:tc>
      </w:tr>
      <w:tr w14:paraId="4AEE00E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196B733A">
            <w:pPr>
              <w:jc w:val="center"/>
              <w:rPr>
                <w:rFonts w:hint="eastAsia" w:ascii="仿宋" w:hAnsi="仿宋" w:eastAsia="仿宋"/>
                <w:sz w:val="22"/>
                <w:szCs w:val="22"/>
                <w:highlight w:val="none"/>
              </w:rPr>
            </w:pPr>
            <w:r>
              <w:rPr>
                <w:rFonts w:ascii="仿宋" w:hAnsi="仿宋" w:eastAsia="仿宋"/>
                <w:sz w:val="22"/>
                <w:szCs w:val="22"/>
                <w:highlight w:val="none"/>
              </w:rPr>
              <w:t>安全保证措施</w:t>
            </w:r>
          </w:p>
        </w:tc>
        <w:tc>
          <w:tcPr>
            <w:tcW w:w="645" w:type="dxa"/>
            <w:tcBorders>
              <w:top w:val="outset" w:color="auto" w:sz="6" w:space="0"/>
              <w:left w:val="outset" w:color="auto" w:sz="6" w:space="0"/>
              <w:bottom w:val="outset" w:color="auto" w:sz="6" w:space="0"/>
              <w:right w:val="outset" w:color="auto" w:sz="6" w:space="0"/>
            </w:tcBorders>
            <w:vAlign w:val="center"/>
          </w:tcPr>
          <w:p w14:paraId="4A302B65">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511684C1">
            <w:pPr>
              <w:rPr>
                <w:rFonts w:hint="eastAsia" w:ascii="仿宋" w:hAnsi="仿宋" w:eastAsia="仿宋"/>
                <w:sz w:val="22"/>
                <w:szCs w:val="22"/>
                <w:highlight w:val="none"/>
              </w:rPr>
            </w:pPr>
            <w:r>
              <w:rPr>
                <w:rFonts w:ascii="仿宋" w:hAnsi="仿宋" w:eastAsia="仿宋"/>
                <w:sz w:val="22"/>
                <w:szCs w:val="22"/>
                <w:highlight w:val="none"/>
              </w:rPr>
              <w:t>对安全生产管理的方法科学且有先进性，措施全面且有针对性，</w:t>
            </w:r>
            <w:r>
              <w:rPr>
                <w:rFonts w:hint="eastAsia" w:ascii="仿宋" w:hAnsi="仿宋" w:eastAsia="仿宋"/>
                <w:sz w:val="22"/>
                <w:szCs w:val="22"/>
                <w:highlight w:val="none"/>
              </w:rPr>
              <w:t>进行评分。</w:t>
            </w:r>
          </w:p>
          <w:p w14:paraId="76556DED">
            <w:pPr>
              <w:rPr>
                <w:rFonts w:hint="eastAsia" w:ascii="仿宋" w:hAnsi="仿宋" w:eastAsia="仿宋"/>
                <w:sz w:val="22"/>
                <w:szCs w:val="22"/>
                <w:highlight w:val="none"/>
              </w:rPr>
            </w:pPr>
            <w:r>
              <w:rPr>
                <w:rFonts w:hint="eastAsia" w:ascii="仿宋" w:hAnsi="仿宋" w:eastAsia="仿宋"/>
                <w:sz w:val="22"/>
                <w:szCs w:val="22"/>
                <w:highlight w:val="none"/>
              </w:rPr>
              <w:t>1.内容全面、清晰，充分考虑项目的实际情况进行安排、针对性强，完全满足采购需求得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46670E77">
            <w:pPr>
              <w:rPr>
                <w:rFonts w:hint="eastAsia" w:ascii="仿宋" w:hAnsi="仿宋" w:eastAsia="仿宋"/>
                <w:sz w:val="22"/>
                <w:szCs w:val="22"/>
                <w:highlight w:val="none"/>
              </w:rPr>
            </w:pPr>
            <w:r>
              <w:rPr>
                <w:rFonts w:hint="eastAsia" w:ascii="仿宋" w:hAnsi="仿宋" w:eastAsia="仿宋"/>
                <w:sz w:val="22"/>
                <w:szCs w:val="22"/>
                <w:highlight w:val="none"/>
              </w:rPr>
              <w:t>2.内容完整，有考虑项目实际情况，能满足采购需求得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7AA2BE53">
            <w:pPr>
              <w:rPr>
                <w:rFonts w:hint="eastAsia" w:ascii="仿宋" w:hAnsi="仿宋" w:eastAsia="仿宋"/>
                <w:sz w:val="22"/>
                <w:szCs w:val="22"/>
                <w:highlight w:val="none"/>
              </w:rPr>
            </w:pPr>
            <w:r>
              <w:rPr>
                <w:rFonts w:hint="eastAsia" w:ascii="仿宋" w:hAnsi="仿宋" w:eastAsia="仿宋"/>
                <w:sz w:val="22"/>
                <w:szCs w:val="22"/>
                <w:highlight w:val="none"/>
              </w:rPr>
              <w:t>3.内容有待改善和充实，得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004AA6CF">
            <w:pPr>
              <w:rPr>
                <w:rFonts w:hint="eastAsia" w:ascii="仿宋" w:hAnsi="仿宋" w:eastAsia="仿宋"/>
                <w:sz w:val="22"/>
                <w:szCs w:val="22"/>
                <w:highlight w:val="none"/>
              </w:rPr>
            </w:pPr>
            <w:r>
              <w:rPr>
                <w:rFonts w:hint="eastAsia" w:ascii="仿宋" w:hAnsi="仿宋" w:eastAsia="仿宋"/>
                <w:sz w:val="22"/>
                <w:szCs w:val="22"/>
                <w:highlight w:val="none"/>
              </w:rPr>
              <w:t>4.方案不可行或未提供不得分。</w:t>
            </w:r>
          </w:p>
        </w:tc>
      </w:tr>
      <w:tr w14:paraId="7582043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273853EA">
            <w:pPr>
              <w:jc w:val="center"/>
              <w:rPr>
                <w:rFonts w:hint="eastAsia" w:ascii="仿宋" w:hAnsi="仿宋" w:eastAsia="仿宋"/>
                <w:sz w:val="22"/>
                <w:szCs w:val="22"/>
                <w:highlight w:val="none"/>
              </w:rPr>
            </w:pPr>
            <w:r>
              <w:rPr>
                <w:rFonts w:ascii="仿宋" w:hAnsi="仿宋" w:eastAsia="仿宋"/>
                <w:sz w:val="22"/>
                <w:szCs w:val="22"/>
                <w:highlight w:val="none"/>
              </w:rPr>
              <w:t>质量控制方案</w:t>
            </w:r>
          </w:p>
        </w:tc>
        <w:tc>
          <w:tcPr>
            <w:tcW w:w="645" w:type="dxa"/>
            <w:tcBorders>
              <w:top w:val="outset" w:color="auto" w:sz="6" w:space="0"/>
              <w:left w:val="outset" w:color="auto" w:sz="6" w:space="0"/>
              <w:bottom w:val="outset" w:color="auto" w:sz="6" w:space="0"/>
              <w:right w:val="outset" w:color="auto" w:sz="6" w:space="0"/>
            </w:tcBorders>
            <w:vAlign w:val="center"/>
          </w:tcPr>
          <w:p w14:paraId="36F7EEEE">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5</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13E41B34">
            <w:pPr>
              <w:rPr>
                <w:rFonts w:hint="eastAsia" w:ascii="仿宋" w:hAnsi="仿宋" w:eastAsia="仿宋"/>
                <w:sz w:val="22"/>
                <w:szCs w:val="22"/>
                <w:highlight w:val="none"/>
              </w:rPr>
            </w:pPr>
            <w:r>
              <w:rPr>
                <w:rFonts w:ascii="仿宋" w:hAnsi="仿宋" w:eastAsia="仿宋"/>
                <w:sz w:val="22"/>
                <w:szCs w:val="22"/>
                <w:highlight w:val="none"/>
              </w:rPr>
              <w:t>对质量控制承诺、质量控制保证措施及违反质量承诺的处罚措施，</w:t>
            </w:r>
            <w:r>
              <w:rPr>
                <w:rFonts w:hint="eastAsia" w:ascii="仿宋" w:hAnsi="仿宋" w:eastAsia="仿宋"/>
                <w:sz w:val="22"/>
                <w:szCs w:val="22"/>
                <w:highlight w:val="none"/>
              </w:rPr>
              <w:t>进行评分。</w:t>
            </w:r>
          </w:p>
          <w:p w14:paraId="25FB6FD3">
            <w:pPr>
              <w:rPr>
                <w:rFonts w:hint="eastAsia" w:ascii="仿宋" w:hAnsi="仿宋" w:eastAsia="仿宋"/>
                <w:sz w:val="22"/>
                <w:szCs w:val="22"/>
                <w:highlight w:val="none"/>
              </w:rPr>
            </w:pPr>
            <w:r>
              <w:rPr>
                <w:rFonts w:hint="eastAsia" w:ascii="仿宋" w:hAnsi="仿宋" w:eastAsia="仿宋"/>
                <w:sz w:val="22"/>
                <w:szCs w:val="22"/>
                <w:highlight w:val="none"/>
              </w:rPr>
              <w:t>1.对质量控制的总体要求与效果明确，质量控制要点分析的清晰明确质量措施详尽、合理，可行性强的，得</w:t>
            </w:r>
            <w:r>
              <w:rPr>
                <w:rFonts w:hint="eastAsia" w:ascii="仿宋" w:hAnsi="仿宋" w:eastAsia="仿宋"/>
                <w:sz w:val="22"/>
                <w:szCs w:val="22"/>
                <w:highlight w:val="none"/>
                <w:lang w:val="en-US" w:eastAsia="zh-CN"/>
              </w:rPr>
              <w:t>5</w:t>
            </w:r>
            <w:r>
              <w:rPr>
                <w:rFonts w:hint="eastAsia" w:ascii="仿宋" w:hAnsi="仿宋" w:eastAsia="仿宋"/>
                <w:sz w:val="22"/>
                <w:szCs w:val="22"/>
                <w:highlight w:val="none"/>
              </w:rPr>
              <w:t>分；</w:t>
            </w:r>
          </w:p>
          <w:p w14:paraId="5549D6EA">
            <w:pPr>
              <w:rPr>
                <w:rFonts w:hint="eastAsia" w:ascii="仿宋" w:hAnsi="仿宋" w:eastAsia="仿宋"/>
                <w:sz w:val="22"/>
                <w:szCs w:val="22"/>
                <w:highlight w:val="none"/>
              </w:rPr>
            </w:pPr>
            <w:r>
              <w:rPr>
                <w:rFonts w:hint="eastAsia" w:ascii="仿宋" w:hAnsi="仿宋" w:eastAsia="仿宋"/>
                <w:sz w:val="22"/>
                <w:szCs w:val="22"/>
                <w:highlight w:val="none"/>
              </w:rPr>
              <w:t>2.有质量控制要点分析，质量措施较为合理、可行性较强的，得</w:t>
            </w:r>
            <w:r>
              <w:rPr>
                <w:rFonts w:hint="eastAsia" w:ascii="仿宋" w:hAnsi="仿宋" w:eastAsia="仿宋"/>
                <w:sz w:val="22"/>
                <w:szCs w:val="22"/>
                <w:highlight w:val="none"/>
                <w:lang w:val="en-US" w:eastAsia="zh-CN"/>
              </w:rPr>
              <w:t>3</w:t>
            </w:r>
            <w:r>
              <w:rPr>
                <w:rFonts w:hint="eastAsia" w:ascii="仿宋" w:hAnsi="仿宋" w:eastAsia="仿宋"/>
                <w:sz w:val="22"/>
                <w:szCs w:val="22"/>
                <w:highlight w:val="none"/>
              </w:rPr>
              <w:t>分；</w:t>
            </w:r>
          </w:p>
          <w:p w14:paraId="0CC6B3A4">
            <w:pPr>
              <w:rPr>
                <w:rFonts w:hint="eastAsia" w:ascii="仿宋" w:hAnsi="仿宋" w:eastAsia="仿宋"/>
                <w:sz w:val="22"/>
                <w:szCs w:val="22"/>
                <w:highlight w:val="none"/>
              </w:rPr>
            </w:pPr>
            <w:r>
              <w:rPr>
                <w:rFonts w:hint="eastAsia" w:ascii="仿宋" w:hAnsi="仿宋" w:eastAsia="仿宋"/>
                <w:sz w:val="22"/>
                <w:szCs w:val="22"/>
                <w:highlight w:val="none"/>
              </w:rPr>
              <w:t>3.主要质量措施有待改善，得</w:t>
            </w:r>
            <w:r>
              <w:rPr>
                <w:rFonts w:hint="eastAsia" w:ascii="仿宋" w:hAnsi="仿宋" w:eastAsia="仿宋"/>
                <w:sz w:val="22"/>
                <w:szCs w:val="22"/>
                <w:highlight w:val="none"/>
                <w:lang w:val="en-US" w:eastAsia="zh-CN"/>
              </w:rPr>
              <w:t>1</w:t>
            </w:r>
            <w:r>
              <w:rPr>
                <w:rFonts w:hint="eastAsia" w:ascii="仿宋" w:hAnsi="仿宋" w:eastAsia="仿宋"/>
                <w:sz w:val="22"/>
                <w:szCs w:val="22"/>
                <w:highlight w:val="none"/>
              </w:rPr>
              <w:t>分；</w:t>
            </w:r>
          </w:p>
          <w:p w14:paraId="6095FFC5">
            <w:pPr>
              <w:rPr>
                <w:rFonts w:hint="eastAsia" w:ascii="仿宋" w:hAnsi="仿宋" w:eastAsia="仿宋"/>
                <w:sz w:val="22"/>
                <w:szCs w:val="22"/>
                <w:highlight w:val="none"/>
              </w:rPr>
            </w:pPr>
            <w:r>
              <w:rPr>
                <w:rFonts w:hint="eastAsia" w:ascii="仿宋" w:hAnsi="仿宋" w:eastAsia="仿宋"/>
                <w:sz w:val="22"/>
                <w:szCs w:val="22"/>
                <w:highlight w:val="none"/>
              </w:rPr>
              <w:t>4.方案不可行或未提供不得分。</w:t>
            </w:r>
          </w:p>
        </w:tc>
      </w:tr>
      <w:tr w14:paraId="129D33F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1B11223E">
            <w:pPr>
              <w:jc w:val="center"/>
              <w:rPr>
                <w:rFonts w:hint="eastAsia" w:ascii="仿宋" w:hAnsi="仿宋" w:eastAsia="仿宋"/>
                <w:sz w:val="22"/>
                <w:szCs w:val="22"/>
                <w:highlight w:val="none"/>
              </w:rPr>
            </w:pPr>
            <w:r>
              <w:rPr>
                <w:rFonts w:ascii="仿宋" w:hAnsi="仿宋" w:eastAsia="仿宋"/>
                <w:sz w:val="22"/>
                <w:szCs w:val="22"/>
                <w:highlight w:val="none"/>
              </w:rPr>
              <w:t>工作重点、难点</w:t>
            </w:r>
            <w:r>
              <w:rPr>
                <w:rFonts w:hint="eastAsia" w:ascii="仿宋" w:hAnsi="仿宋" w:eastAsia="仿宋"/>
                <w:sz w:val="22"/>
                <w:szCs w:val="22"/>
                <w:highlight w:val="none"/>
              </w:rPr>
              <w:t>分析及应对措施</w:t>
            </w:r>
          </w:p>
        </w:tc>
        <w:tc>
          <w:tcPr>
            <w:tcW w:w="645" w:type="dxa"/>
            <w:tcBorders>
              <w:top w:val="outset" w:color="auto" w:sz="6" w:space="0"/>
              <w:left w:val="outset" w:color="auto" w:sz="6" w:space="0"/>
              <w:bottom w:val="outset" w:color="auto" w:sz="6" w:space="0"/>
              <w:right w:val="outset" w:color="auto" w:sz="6" w:space="0"/>
            </w:tcBorders>
            <w:vAlign w:val="center"/>
          </w:tcPr>
          <w:p w14:paraId="7B5B7571">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5</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7EF16EAB">
            <w:pPr>
              <w:rPr>
                <w:rFonts w:hint="eastAsia" w:ascii="仿宋" w:hAnsi="仿宋" w:eastAsia="仿宋"/>
                <w:sz w:val="22"/>
                <w:szCs w:val="22"/>
                <w:highlight w:val="none"/>
              </w:rPr>
            </w:pPr>
            <w:r>
              <w:rPr>
                <w:rFonts w:hint="eastAsia" w:ascii="仿宋" w:hAnsi="仿宋" w:eastAsia="仿宋"/>
                <w:sz w:val="22"/>
                <w:szCs w:val="22"/>
                <w:highlight w:val="none"/>
              </w:rPr>
              <w:t>一、</w:t>
            </w:r>
            <w:r>
              <w:rPr>
                <w:rFonts w:ascii="仿宋" w:hAnsi="仿宋" w:eastAsia="仿宋"/>
                <w:sz w:val="22"/>
                <w:szCs w:val="22"/>
                <w:highlight w:val="none"/>
              </w:rPr>
              <w:t>根据供应商提供的工作重点及难点的分析</w:t>
            </w:r>
            <w:r>
              <w:rPr>
                <w:rFonts w:hint="eastAsia" w:ascii="仿宋" w:hAnsi="仿宋" w:eastAsia="仿宋"/>
                <w:sz w:val="22"/>
                <w:szCs w:val="22"/>
                <w:highlight w:val="none"/>
                <w:lang w:eastAsia="zh-CN"/>
              </w:rPr>
              <w:t>及</w:t>
            </w:r>
            <w:r>
              <w:rPr>
                <w:rFonts w:hint="eastAsia" w:ascii="仿宋" w:hAnsi="仿宋" w:eastAsia="仿宋"/>
                <w:sz w:val="22"/>
                <w:szCs w:val="22"/>
                <w:highlight w:val="none"/>
              </w:rPr>
              <w:t>提供应对措施</w:t>
            </w:r>
            <w:r>
              <w:rPr>
                <w:rFonts w:ascii="仿宋" w:hAnsi="仿宋" w:eastAsia="仿宋"/>
                <w:sz w:val="22"/>
                <w:szCs w:val="22"/>
                <w:highlight w:val="none"/>
              </w:rPr>
              <w:t>进行评审：</w:t>
            </w:r>
          </w:p>
          <w:p w14:paraId="31EB65C7">
            <w:pPr>
              <w:rPr>
                <w:rFonts w:hint="eastAsia" w:ascii="仿宋" w:hAnsi="仿宋" w:eastAsia="仿宋"/>
                <w:sz w:val="22"/>
                <w:szCs w:val="22"/>
                <w:highlight w:val="none"/>
              </w:rPr>
            </w:pPr>
            <w:r>
              <w:rPr>
                <w:rFonts w:hint="eastAsia" w:ascii="仿宋" w:hAnsi="仿宋" w:eastAsia="仿宋"/>
                <w:sz w:val="22"/>
                <w:szCs w:val="22"/>
                <w:highlight w:val="none"/>
              </w:rPr>
              <w:t>1.对工作重点及难点分析与理解内容完全贴合采购需求，</w:t>
            </w:r>
            <w:r>
              <w:rPr>
                <w:rFonts w:hint="eastAsia" w:ascii="仿宋" w:hAnsi="仿宋" w:eastAsia="仿宋"/>
                <w:sz w:val="22"/>
                <w:szCs w:val="22"/>
                <w:highlight w:val="none"/>
                <w:lang w:eastAsia="zh-CN"/>
              </w:rPr>
              <w:t>对应措施可行性高，</w:t>
            </w:r>
            <w:r>
              <w:rPr>
                <w:rFonts w:hint="eastAsia" w:ascii="仿宋" w:hAnsi="仿宋" w:eastAsia="仿宋"/>
                <w:sz w:val="22"/>
                <w:szCs w:val="22"/>
                <w:highlight w:val="none"/>
              </w:rPr>
              <w:t>针对性强的，得5分；</w:t>
            </w:r>
          </w:p>
          <w:p w14:paraId="2272B613">
            <w:pPr>
              <w:rPr>
                <w:rFonts w:hint="eastAsia" w:ascii="仿宋" w:hAnsi="仿宋" w:eastAsia="仿宋"/>
                <w:sz w:val="22"/>
                <w:szCs w:val="22"/>
                <w:highlight w:val="none"/>
              </w:rPr>
            </w:pPr>
            <w:r>
              <w:rPr>
                <w:rFonts w:hint="eastAsia" w:ascii="仿宋" w:hAnsi="仿宋" w:eastAsia="仿宋"/>
                <w:sz w:val="22"/>
                <w:szCs w:val="22"/>
                <w:highlight w:val="none"/>
              </w:rPr>
              <w:t>2.对工作重点及难点分析与理解内容基本贴合采购需求，应对措施基本可行</w:t>
            </w:r>
            <w:r>
              <w:rPr>
                <w:rFonts w:hint="eastAsia" w:ascii="仿宋" w:hAnsi="仿宋" w:eastAsia="仿宋"/>
                <w:sz w:val="22"/>
                <w:szCs w:val="22"/>
                <w:highlight w:val="none"/>
                <w:lang w:eastAsia="zh-CN"/>
              </w:rPr>
              <w:t>，</w:t>
            </w:r>
            <w:r>
              <w:rPr>
                <w:rFonts w:hint="eastAsia" w:ascii="仿宋" w:hAnsi="仿宋" w:eastAsia="仿宋"/>
                <w:sz w:val="22"/>
                <w:szCs w:val="22"/>
                <w:highlight w:val="none"/>
              </w:rPr>
              <w:t>具有针对性的，得3分；</w:t>
            </w:r>
          </w:p>
          <w:p w14:paraId="458AB651">
            <w:pPr>
              <w:rPr>
                <w:rFonts w:hint="eastAsia" w:ascii="仿宋" w:hAnsi="仿宋" w:eastAsia="仿宋"/>
                <w:sz w:val="22"/>
                <w:szCs w:val="22"/>
                <w:highlight w:val="none"/>
              </w:rPr>
            </w:pPr>
            <w:r>
              <w:rPr>
                <w:rFonts w:hint="eastAsia" w:ascii="仿宋" w:hAnsi="仿宋" w:eastAsia="仿宋"/>
                <w:sz w:val="22"/>
                <w:szCs w:val="22"/>
                <w:highlight w:val="none"/>
              </w:rPr>
              <w:t>3.对工作重点及难点分析与理解内容基本适合本项目，应对措施有待完善</w:t>
            </w:r>
            <w:r>
              <w:rPr>
                <w:rFonts w:hint="eastAsia" w:ascii="仿宋" w:hAnsi="仿宋" w:eastAsia="仿宋"/>
                <w:sz w:val="22"/>
                <w:szCs w:val="22"/>
                <w:highlight w:val="none"/>
                <w:lang w:eastAsia="zh-CN"/>
              </w:rPr>
              <w:t>，</w:t>
            </w:r>
            <w:r>
              <w:rPr>
                <w:rFonts w:hint="eastAsia" w:ascii="仿宋" w:hAnsi="仿宋" w:eastAsia="仿宋"/>
                <w:sz w:val="22"/>
                <w:szCs w:val="22"/>
                <w:highlight w:val="none"/>
              </w:rPr>
              <w:t>针对性有待改善的，得1分；</w:t>
            </w:r>
          </w:p>
          <w:p w14:paraId="7EB576D8">
            <w:pPr>
              <w:rPr>
                <w:rFonts w:hint="eastAsia" w:ascii="仿宋" w:hAnsi="仿宋" w:eastAsia="仿宋"/>
                <w:sz w:val="22"/>
                <w:szCs w:val="22"/>
                <w:highlight w:val="none"/>
              </w:rPr>
            </w:pPr>
            <w:r>
              <w:rPr>
                <w:rFonts w:hint="eastAsia" w:ascii="仿宋" w:hAnsi="仿宋" w:eastAsia="仿宋"/>
                <w:sz w:val="22"/>
                <w:szCs w:val="22"/>
                <w:highlight w:val="none"/>
              </w:rPr>
              <w:t>4.供应商提供的内容混乱或未提供，不得分。</w:t>
            </w:r>
          </w:p>
        </w:tc>
      </w:tr>
      <w:tr w14:paraId="4089A09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2406C485">
            <w:pPr>
              <w:jc w:val="center"/>
              <w:rPr>
                <w:rFonts w:hint="eastAsia" w:ascii="仿宋" w:hAnsi="仿宋" w:eastAsia="仿宋"/>
                <w:sz w:val="22"/>
                <w:szCs w:val="22"/>
                <w:highlight w:val="none"/>
              </w:rPr>
            </w:pPr>
            <w:r>
              <w:rPr>
                <w:rFonts w:ascii="仿宋" w:hAnsi="仿宋" w:eastAsia="仿宋"/>
                <w:sz w:val="22"/>
                <w:szCs w:val="22"/>
                <w:highlight w:val="none"/>
              </w:rPr>
              <w:t>应急方案</w:t>
            </w:r>
          </w:p>
        </w:tc>
        <w:tc>
          <w:tcPr>
            <w:tcW w:w="645" w:type="dxa"/>
            <w:tcBorders>
              <w:top w:val="outset" w:color="auto" w:sz="6" w:space="0"/>
              <w:left w:val="outset" w:color="auto" w:sz="6" w:space="0"/>
              <w:bottom w:val="outset" w:color="auto" w:sz="6" w:space="0"/>
              <w:right w:val="outset" w:color="auto" w:sz="6" w:space="0"/>
            </w:tcBorders>
            <w:vAlign w:val="center"/>
          </w:tcPr>
          <w:p w14:paraId="32ADF676">
            <w:pPr>
              <w:jc w:val="center"/>
              <w:rPr>
                <w:rFonts w:hint="eastAsia" w:ascii="仿宋" w:hAnsi="仿宋" w:eastAsia="仿宋"/>
                <w:sz w:val="22"/>
                <w:szCs w:val="22"/>
                <w:highlight w:val="none"/>
              </w:rPr>
            </w:pP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tc>
        <w:tc>
          <w:tcPr>
            <w:tcW w:w="7323" w:type="dxa"/>
            <w:tcBorders>
              <w:top w:val="outset" w:color="auto" w:sz="6" w:space="0"/>
              <w:left w:val="outset" w:color="auto" w:sz="6" w:space="0"/>
              <w:bottom w:val="outset" w:color="auto" w:sz="6" w:space="0"/>
              <w:right w:val="outset" w:color="auto" w:sz="6" w:space="0"/>
            </w:tcBorders>
            <w:vAlign w:val="center"/>
          </w:tcPr>
          <w:p w14:paraId="6DDDF469">
            <w:pPr>
              <w:rPr>
                <w:rFonts w:hint="eastAsia" w:ascii="仿宋" w:hAnsi="仿宋" w:eastAsia="仿宋"/>
                <w:sz w:val="22"/>
                <w:szCs w:val="22"/>
                <w:highlight w:val="none"/>
              </w:rPr>
            </w:pPr>
            <w:r>
              <w:rPr>
                <w:rFonts w:ascii="仿宋" w:hAnsi="仿宋" w:eastAsia="仿宋"/>
                <w:sz w:val="22"/>
                <w:szCs w:val="22"/>
                <w:highlight w:val="none"/>
              </w:rPr>
              <w:t>结合本项目特点和实际需求，磋商小组根据供应商提出相应的应</w:t>
            </w:r>
            <w:r>
              <w:rPr>
                <w:rFonts w:hint="eastAsia" w:ascii="仿宋" w:hAnsi="仿宋" w:eastAsia="仿宋"/>
                <w:sz w:val="22"/>
                <w:szCs w:val="22"/>
                <w:highlight w:val="none"/>
              </w:rPr>
              <w:t>急方案进行综合评审：</w:t>
            </w:r>
          </w:p>
          <w:p w14:paraId="76F6557B">
            <w:pPr>
              <w:rPr>
                <w:rFonts w:hint="eastAsia" w:ascii="仿宋" w:hAnsi="仿宋" w:eastAsia="仿宋"/>
                <w:sz w:val="22"/>
                <w:szCs w:val="22"/>
                <w:highlight w:val="none"/>
              </w:rPr>
            </w:pPr>
            <w:r>
              <w:rPr>
                <w:rFonts w:hint="eastAsia" w:ascii="仿宋" w:hAnsi="仿宋" w:eastAsia="仿宋"/>
                <w:sz w:val="22"/>
                <w:szCs w:val="22"/>
                <w:highlight w:val="none"/>
              </w:rPr>
              <w:t>1.方案内容详细完整，可行性、实用性和针对性强的，得</w:t>
            </w:r>
            <w:r>
              <w:rPr>
                <w:rFonts w:hint="eastAsia" w:ascii="仿宋" w:hAnsi="仿宋" w:eastAsia="仿宋"/>
                <w:sz w:val="22"/>
                <w:szCs w:val="22"/>
                <w:highlight w:val="none"/>
                <w:lang w:val="en-US" w:eastAsia="zh-CN"/>
              </w:rPr>
              <w:t>6</w:t>
            </w:r>
            <w:r>
              <w:rPr>
                <w:rFonts w:hint="eastAsia" w:ascii="仿宋" w:hAnsi="仿宋" w:eastAsia="仿宋"/>
                <w:sz w:val="22"/>
                <w:szCs w:val="22"/>
                <w:highlight w:val="none"/>
              </w:rPr>
              <w:t>分；</w:t>
            </w:r>
          </w:p>
          <w:p w14:paraId="4BF2AD6C">
            <w:pPr>
              <w:rPr>
                <w:rFonts w:hint="eastAsia" w:ascii="仿宋" w:hAnsi="仿宋" w:eastAsia="仿宋"/>
                <w:sz w:val="22"/>
                <w:szCs w:val="22"/>
                <w:highlight w:val="none"/>
              </w:rPr>
            </w:pPr>
            <w:r>
              <w:rPr>
                <w:rFonts w:hint="eastAsia" w:ascii="仿宋" w:hAnsi="仿宋" w:eastAsia="仿宋"/>
                <w:sz w:val="22"/>
                <w:szCs w:val="22"/>
                <w:highlight w:val="none"/>
              </w:rPr>
              <w:t>2.方案内容基本完整，具有可行性、实用性和针对性的，得</w:t>
            </w:r>
            <w:r>
              <w:rPr>
                <w:rFonts w:hint="eastAsia" w:ascii="仿宋" w:hAnsi="仿宋" w:eastAsia="仿宋"/>
                <w:sz w:val="22"/>
                <w:szCs w:val="22"/>
                <w:highlight w:val="none"/>
                <w:lang w:val="en-US" w:eastAsia="zh-CN"/>
              </w:rPr>
              <w:t>4</w:t>
            </w:r>
            <w:r>
              <w:rPr>
                <w:rFonts w:hint="eastAsia" w:ascii="仿宋" w:hAnsi="仿宋" w:eastAsia="仿宋"/>
                <w:sz w:val="22"/>
                <w:szCs w:val="22"/>
                <w:highlight w:val="none"/>
              </w:rPr>
              <w:t>分；</w:t>
            </w:r>
          </w:p>
          <w:p w14:paraId="37F3EB97">
            <w:pPr>
              <w:rPr>
                <w:rFonts w:hint="eastAsia" w:ascii="仿宋" w:hAnsi="仿宋" w:eastAsia="仿宋"/>
                <w:sz w:val="22"/>
                <w:szCs w:val="22"/>
                <w:highlight w:val="none"/>
              </w:rPr>
            </w:pPr>
            <w:r>
              <w:rPr>
                <w:rFonts w:hint="eastAsia" w:ascii="仿宋" w:hAnsi="仿宋" w:eastAsia="仿宋"/>
                <w:sz w:val="22"/>
                <w:szCs w:val="22"/>
                <w:highlight w:val="none"/>
              </w:rPr>
              <w:t>3.方案内容可行性、实用性和针对性有待改善的，得</w:t>
            </w:r>
            <w:r>
              <w:rPr>
                <w:rFonts w:hint="eastAsia" w:ascii="仿宋" w:hAnsi="仿宋" w:eastAsia="仿宋"/>
                <w:sz w:val="22"/>
                <w:szCs w:val="22"/>
                <w:highlight w:val="none"/>
                <w:lang w:val="en-US" w:eastAsia="zh-CN"/>
              </w:rPr>
              <w:t>2</w:t>
            </w:r>
            <w:r>
              <w:rPr>
                <w:rFonts w:hint="eastAsia" w:ascii="仿宋" w:hAnsi="仿宋" w:eastAsia="仿宋"/>
                <w:sz w:val="22"/>
                <w:szCs w:val="22"/>
                <w:highlight w:val="none"/>
              </w:rPr>
              <w:t>分；</w:t>
            </w:r>
          </w:p>
          <w:p w14:paraId="56D4E608">
            <w:pPr>
              <w:rPr>
                <w:rFonts w:hint="eastAsia" w:ascii="仿宋" w:hAnsi="仿宋" w:eastAsia="仿宋"/>
                <w:sz w:val="22"/>
                <w:szCs w:val="22"/>
                <w:highlight w:val="none"/>
              </w:rPr>
            </w:pPr>
            <w:r>
              <w:rPr>
                <w:rFonts w:hint="eastAsia" w:ascii="仿宋" w:hAnsi="仿宋" w:eastAsia="仿宋"/>
                <w:sz w:val="22"/>
                <w:szCs w:val="22"/>
                <w:highlight w:val="none"/>
              </w:rPr>
              <w:t>4.方案不可行或者未提供不得分。</w:t>
            </w:r>
          </w:p>
        </w:tc>
      </w:tr>
      <w:tr w14:paraId="5A5D769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75DAE5B1">
            <w:pPr>
              <w:jc w:val="center"/>
              <w:rPr>
                <w:rFonts w:hint="eastAsia" w:ascii="仿宋" w:hAnsi="仿宋" w:eastAsia="仿宋"/>
                <w:sz w:val="22"/>
                <w:szCs w:val="22"/>
                <w:highlight w:val="none"/>
              </w:rPr>
            </w:pPr>
            <w:r>
              <w:rPr>
                <w:rFonts w:ascii="仿宋" w:hAnsi="仿宋" w:eastAsia="仿宋"/>
                <w:sz w:val="22"/>
                <w:szCs w:val="22"/>
                <w:highlight w:val="none"/>
              </w:rPr>
              <w:t>维修配件、备品</w:t>
            </w:r>
            <w:r>
              <w:rPr>
                <w:rFonts w:hint="eastAsia" w:ascii="仿宋" w:hAnsi="仿宋" w:eastAsia="仿宋"/>
                <w:sz w:val="22"/>
                <w:szCs w:val="22"/>
                <w:highlight w:val="none"/>
              </w:rPr>
              <w:t>备件及易损件清单</w:t>
            </w:r>
          </w:p>
        </w:tc>
        <w:tc>
          <w:tcPr>
            <w:tcW w:w="645" w:type="dxa"/>
            <w:tcBorders>
              <w:top w:val="outset" w:color="auto" w:sz="6" w:space="0"/>
              <w:left w:val="outset" w:color="auto" w:sz="6" w:space="0"/>
              <w:bottom w:val="outset" w:color="auto" w:sz="6" w:space="0"/>
              <w:right w:val="outset" w:color="auto" w:sz="6" w:space="0"/>
            </w:tcBorders>
            <w:vAlign w:val="center"/>
          </w:tcPr>
          <w:p w14:paraId="69AAB315">
            <w:pPr>
              <w:jc w:val="center"/>
              <w:rPr>
                <w:rFonts w:hint="eastAsia" w:ascii="仿宋" w:hAnsi="仿宋" w:eastAsia="仿宋"/>
                <w:sz w:val="22"/>
                <w:szCs w:val="22"/>
                <w:highlight w:val="none"/>
              </w:rPr>
            </w:pPr>
            <w:r>
              <w:rPr>
                <w:rFonts w:hint="eastAsia" w:ascii="仿宋" w:hAnsi="仿宋" w:eastAsia="仿宋"/>
                <w:sz w:val="22"/>
                <w:szCs w:val="22"/>
                <w:highlight w:val="none"/>
              </w:rPr>
              <w:t>5分</w:t>
            </w:r>
          </w:p>
        </w:tc>
        <w:tc>
          <w:tcPr>
            <w:tcW w:w="7323" w:type="dxa"/>
            <w:tcBorders>
              <w:top w:val="outset" w:color="auto" w:sz="6" w:space="0"/>
              <w:left w:val="outset" w:color="auto" w:sz="6" w:space="0"/>
              <w:bottom w:val="outset" w:color="auto" w:sz="6" w:space="0"/>
              <w:right w:val="outset" w:color="auto" w:sz="6" w:space="0"/>
            </w:tcBorders>
            <w:vAlign w:val="center"/>
          </w:tcPr>
          <w:p w14:paraId="0AE15BCE">
            <w:pPr>
              <w:rPr>
                <w:rFonts w:hint="eastAsia" w:ascii="仿宋" w:hAnsi="仿宋" w:eastAsia="仿宋"/>
                <w:sz w:val="22"/>
                <w:szCs w:val="22"/>
                <w:highlight w:val="none"/>
              </w:rPr>
            </w:pPr>
            <w:r>
              <w:rPr>
                <w:rFonts w:ascii="仿宋" w:hAnsi="仿宋" w:eastAsia="仿宋"/>
                <w:sz w:val="22"/>
                <w:szCs w:val="22"/>
                <w:highlight w:val="none"/>
              </w:rPr>
              <w:t>评委根据维修配件、备品备件及易损件规格、价格、清单的详细</w:t>
            </w:r>
            <w:r>
              <w:rPr>
                <w:rFonts w:hint="eastAsia" w:ascii="仿宋" w:hAnsi="仿宋" w:eastAsia="仿宋"/>
                <w:sz w:val="22"/>
                <w:szCs w:val="22"/>
                <w:highlight w:val="none"/>
              </w:rPr>
              <w:t>程度等方面综合评定。</w:t>
            </w:r>
          </w:p>
          <w:p w14:paraId="43B234F9">
            <w:pPr>
              <w:rPr>
                <w:rFonts w:hint="eastAsia" w:ascii="仿宋" w:hAnsi="仿宋" w:eastAsia="仿宋"/>
                <w:sz w:val="22"/>
                <w:szCs w:val="22"/>
                <w:highlight w:val="none"/>
              </w:rPr>
            </w:pPr>
            <w:r>
              <w:rPr>
                <w:rFonts w:hint="eastAsia" w:ascii="仿宋" w:hAnsi="仿宋" w:eastAsia="仿宋"/>
                <w:sz w:val="22"/>
                <w:szCs w:val="22"/>
                <w:highlight w:val="none"/>
              </w:rPr>
              <w:t>1.提供的维修配件、备品备件及易损件完整详尽，规格、价格、清单的详细程度等合理性高，得5分；</w:t>
            </w:r>
          </w:p>
          <w:p w14:paraId="72551CDA">
            <w:pPr>
              <w:rPr>
                <w:rFonts w:hint="eastAsia" w:ascii="仿宋" w:hAnsi="仿宋" w:eastAsia="仿宋"/>
                <w:sz w:val="22"/>
                <w:szCs w:val="22"/>
                <w:highlight w:val="none"/>
              </w:rPr>
            </w:pPr>
            <w:r>
              <w:rPr>
                <w:rFonts w:hint="eastAsia" w:ascii="仿宋" w:hAnsi="仿宋" w:eastAsia="仿宋"/>
                <w:sz w:val="22"/>
                <w:szCs w:val="22"/>
                <w:highlight w:val="none"/>
              </w:rPr>
              <w:t>2.提供的维修配件、备品备件及易损件规格、价格、清单详细程度等合理性基本满足需求，得3分；</w:t>
            </w:r>
          </w:p>
          <w:p w14:paraId="3C36082F">
            <w:pPr>
              <w:rPr>
                <w:rFonts w:hint="eastAsia" w:ascii="仿宋" w:hAnsi="仿宋" w:eastAsia="仿宋"/>
                <w:sz w:val="22"/>
                <w:szCs w:val="22"/>
                <w:highlight w:val="none"/>
              </w:rPr>
            </w:pPr>
            <w:r>
              <w:rPr>
                <w:rFonts w:hint="eastAsia" w:ascii="仿宋" w:hAnsi="仿宋" w:eastAsia="仿宋"/>
                <w:sz w:val="22"/>
                <w:szCs w:val="22"/>
                <w:highlight w:val="none"/>
              </w:rPr>
              <w:t>3.提供的维修配件、备品备件及易损件规格、价格、清单详细程度待进一步完善，得1分；</w:t>
            </w:r>
          </w:p>
          <w:p w14:paraId="54A5092A">
            <w:pPr>
              <w:rPr>
                <w:rFonts w:hint="eastAsia" w:ascii="仿宋" w:hAnsi="仿宋" w:eastAsia="仿宋"/>
                <w:sz w:val="22"/>
                <w:szCs w:val="22"/>
                <w:highlight w:val="none"/>
              </w:rPr>
            </w:pPr>
            <w:r>
              <w:rPr>
                <w:rFonts w:hint="eastAsia" w:ascii="仿宋" w:hAnsi="仿宋" w:eastAsia="仿宋"/>
                <w:sz w:val="22"/>
                <w:szCs w:val="22"/>
                <w:highlight w:val="none"/>
              </w:rPr>
              <w:t>4.方案不可行或者未提供不得分。</w:t>
            </w:r>
          </w:p>
        </w:tc>
      </w:tr>
      <w:tr w14:paraId="28949CC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5579346C">
            <w:pPr>
              <w:jc w:val="center"/>
              <w:rPr>
                <w:rFonts w:hint="eastAsia" w:ascii="仿宋" w:hAnsi="仿宋" w:eastAsia="仿宋"/>
                <w:sz w:val="22"/>
                <w:szCs w:val="22"/>
                <w:highlight w:val="none"/>
                <w:lang w:eastAsia="zh-CN"/>
              </w:rPr>
            </w:pPr>
            <w:r>
              <w:rPr>
                <w:rFonts w:hint="eastAsia" w:ascii="仿宋" w:hAnsi="仿宋" w:eastAsia="仿宋"/>
                <w:sz w:val="22"/>
                <w:szCs w:val="22"/>
                <w:highlight w:val="none"/>
                <w:lang w:eastAsia="zh-CN"/>
              </w:rPr>
              <w:t>维修时效性</w:t>
            </w:r>
          </w:p>
        </w:tc>
        <w:tc>
          <w:tcPr>
            <w:tcW w:w="645" w:type="dxa"/>
            <w:tcBorders>
              <w:top w:val="outset" w:color="auto" w:sz="6" w:space="0"/>
              <w:left w:val="outset" w:color="auto" w:sz="6" w:space="0"/>
              <w:bottom w:val="outset" w:color="auto" w:sz="6" w:space="0"/>
              <w:right w:val="outset" w:color="auto" w:sz="6" w:space="0"/>
            </w:tcBorders>
            <w:vAlign w:val="center"/>
          </w:tcPr>
          <w:p w14:paraId="1C1A144E">
            <w:pPr>
              <w:jc w:val="center"/>
              <w:rPr>
                <w:rFonts w:hint="eastAsia" w:ascii="仿宋" w:hAnsi="仿宋" w:eastAsia="仿宋"/>
                <w:sz w:val="22"/>
                <w:szCs w:val="22"/>
                <w:highlight w:val="none"/>
                <w:lang w:val="en-US" w:eastAsia="zh-CN"/>
              </w:rPr>
            </w:pPr>
            <w:r>
              <w:rPr>
                <w:rFonts w:hint="eastAsia" w:ascii="仿宋" w:hAnsi="仿宋" w:eastAsia="仿宋"/>
                <w:sz w:val="22"/>
                <w:szCs w:val="22"/>
                <w:highlight w:val="none"/>
                <w:lang w:val="en-US" w:eastAsia="zh-CN"/>
              </w:rPr>
              <w:t>6分</w:t>
            </w:r>
          </w:p>
        </w:tc>
        <w:tc>
          <w:tcPr>
            <w:tcW w:w="7323" w:type="dxa"/>
            <w:tcBorders>
              <w:top w:val="outset" w:color="auto" w:sz="6" w:space="0"/>
              <w:left w:val="outset" w:color="auto" w:sz="6" w:space="0"/>
              <w:bottom w:val="outset" w:color="auto" w:sz="6" w:space="0"/>
              <w:right w:val="outset" w:color="auto" w:sz="6" w:space="0"/>
            </w:tcBorders>
            <w:vAlign w:val="center"/>
          </w:tcPr>
          <w:p w14:paraId="4D42DE5C">
            <w:pPr>
              <w:rPr>
                <w:rFonts w:hint="eastAsia" w:ascii="仿宋" w:hAnsi="仿宋" w:eastAsia="仿宋"/>
                <w:sz w:val="22"/>
                <w:szCs w:val="22"/>
                <w:highlight w:val="none"/>
                <w:lang w:eastAsia="zh-CN"/>
              </w:rPr>
            </w:pPr>
            <w:r>
              <w:rPr>
                <w:rFonts w:hint="eastAsia" w:ascii="仿宋" w:hAnsi="仿宋" w:eastAsia="仿宋"/>
                <w:sz w:val="22"/>
                <w:szCs w:val="22"/>
                <w:highlight w:val="none"/>
                <w:lang w:eastAsia="zh-CN"/>
              </w:rPr>
              <w:t>根据供应商提供</w:t>
            </w:r>
            <w:r>
              <w:rPr>
                <w:rFonts w:hint="eastAsia" w:ascii="仿宋" w:hAnsi="仿宋" w:eastAsia="仿宋"/>
                <w:sz w:val="22"/>
                <w:szCs w:val="22"/>
                <w:highlight w:val="none"/>
              </w:rPr>
              <w:t>维修配件、备品备件及易损件供应效率</w:t>
            </w:r>
            <w:r>
              <w:rPr>
                <w:rFonts w:hint="eastAsia" w:ascii="仿宋" w:hAnsi="仿宋" w:eastAsia="仿宋"/>
                <w:sz w:val="22"/>
                <w:szCs w:val="22"/>
                <w:highlight w:val="none"/>
                <w:lang w:eastAsia="zh-CN"/>
              </w:rPr>
              <w:t>进行综合评审：</w:t>
            </w:r>
          </w:p>
          <w:p w14:paraId="03620DB6">
            <w:pPr>
              <w:rPr>
                <w:rFonts w:hint="eastAsia" w:ascii="仿宋" w:hAnsi="仿宋" w:eastAsia="仿宋"/>
                <w:sz w:val="22"/>
                <w:szCs w:val="22"/>
                <w:highlight w:val="none"/>
                <w:lang w:val="en-US" w:eastAsia="zh-CN"/>
              </w:rPr>
            </w:pPr>
            <w:r>
              <w:rPr>
                <w:rFonts w:hint="eastAsia" w:ascii="仿宋" w:hAnsi="仿宋" w:eastAsia="仿宋"/>
                <w:sz w:val="22"/>
                <w:szCs w:val="22"/>
                <w:highlight w:val="none"/>
                <w:lang w:val="en-US" w:eastAsia="zh-CN"/>
              </w:rPr>
              <w:t>1.备品备件供应及时，维修效率高得6分；</w:t>
            </w:r>
          </w:p>
          <w:p w14:paraId="04CC3BB5">
            <w:pPr>
              <w:rPr>
                <w:rFonts w:hint="default" w:ascii="仿宋" w:hAnsi="仿宋" w:eastAsia="仿宋"/>
                <w:sz w:val="22"/>
                <w:szCs w:val="22"/>
                <w:highlight w:val="none"/>
                <w:lang w:val="en-US" w:eastAsia="zh-CN"/>
              </w:rPr>
            </w:pPr>
            <w:r>
              <w:rPr>
                <w:rFonts w:hint="eastAsia" w:ascii="仿宋" w:hAnsi="仿宋" w:eastAsia="仿宋"/>
                <w:sz w:val="22"/>
                <w:szCs w:val="22"/>
                <w:highlight w:val="none"/>
                <w:lang w:val="en-US" w:eastAsia="zh-CN"/>
              </w:rPr>
              <w:t>2.备品备件供应基本及时，维修效率较高得4分；</w:t>
            </w:r>
          </w:p>
          <w:p w14:paraId="1009B923">
            <w:pPr>
              <w:rPr>
                <w:rFonts w:hint="eastAsia" w:ascii="仿宋" w:hAnsi="仿宋" w:eastAsia="仿宋"/>
                <w:sz w:val="22"/>
                <w:szCs w:val="22"/>
                <w:highlight w:val="none"/>
                <w:lang w:val="en-US" w:eastAsia="zh-CN"/>
              </w:rPr>
            </w:pPr>
            <w:r>
              <w:rPr>
                <w:rFonts w:hint="eastAsia" w:ascii="仿宋" w:hAnsi="仿宋" w:eastAsia="仿宋"/>
                <w:sz w:val="22"/>
                <w:szCs w:val="22"/>
                <w:highlight w:val="none"/>
                <w:lang w:val="en-US" w:eastAsia="zh-CN"/>
              </w:rPr>
              <w:t>3.备品备件供应及时性、维修效率有待提高的2分；</w:t>
            </w:r>
          </w:p>
          <w:p w14:paraId="10C3D954">
            <w:pPr>
              <w:rPr>
                <w:rFonts w:hint="default"/>
                <w:highlight w:val="none"/>
                <w:lang w:val="en-US" w:eastAsia="zh-CN"/>
              </w:rPr>
            </w:pPr>
            <w:r>
              <w:rPr>
                <w:rFonts w:hint="eastAsia" w:ascii="仿宋" w:hAnsi="仿宋" w:eastAsia="仿宋"/>
                <w:sz w:val="22"/>
                <w:szCs w:val="22"/>
                <w:highlight w:val="none"/>
                <w:lang w:val="en-US" w:eastAsia="zh-CN"/>
              </w:rPr>
              <w:t>4.备品备件供应及时性、维修时效性不合理或未提供不得分</w:t>
            </w:r>
          </w:p>
        </w:tc>
      </w:tr>
      <w:tr w14:paraId="1C14467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1552" w:type="dxa"/>
            <w:tcBorders>
              <w:top w:val="outset" w:color="auto" w:sz="6" w:space="0"/>
              <w:left w:val="outset" w:color="auto" w:sz="6" w:space="0"/>
              <w:bottom w:val="outset" w:color="auto" w:sz="6" w:space="0"/>
              <w:right w:val="outset" w:color="auto" w:sz="6" w:space="0"/>
            </w:tcBorders>
            <w:vAlign w:val="center"/>
          </w:tcPr>
          <w:p w14:paraId="76D47ABA">
            <w:pPr>
              <w:jc w:val="center"/>
              <w:rPr>
                <w:rFonts w:hint="eastAsia" w:ascii="仿宋" w:hAnsi="仿宋" w:eastAsia="仿宋"/>
                <w:sz w:val="22"/>
                <w:szCs w:val="22"/>
                <w:highlight w:val="none"/>
              </w:rPr>
            </w:pPr>
            <w:r>
              <w:rPr>
                <w:rFonts w:ascii="仿宋" w:hAnsi="仿宋" w:eastAsia="仿宋"/>
                <w:sz w:val="22"/>
                <w:szCs w:val="22"/>
                <w:highlight w:val="none"/>
              </w:rPr>
              <w:t>售后承诺及人员</w:t>
            </w:r>
            <w:r>
              <w:rPr>
                <w:rFonts w:hint="eastAsia" w:ascii="仿宋" w:hAnsi="仿宋" w:eastAsia="仿宋"/>
                <w:sz w:val="22"/>
                <w:szCs w:val="22"/>
                <w:highlight w:val="none"/>
              </w:rPr>
              <w:t>方案</w:t>
            </w:r>
          </w:p>
        </w:tc>
        <w:tc>
          <w:tcPr>
            <w:tcW w:w="645" w:type="dxa"/>
            <w:tcBorders>
              <w:top w:val="outset" w:color="auto" w:sz="6" w:space="0"/>
              <w:left w:val="outset" w:color="auto" w:sz="6" w:space="0"/>
              <w:bottom w:val="outset" w:color="auto" w:sz="6" w:space="0"/>
              <w:right w:val="outset" w:color="auto" w:sz="6" w:space="0"/>
            </w:tcBorders>
            <w:vAlign w:val="center"/>
          </w:tcPr>
          <w:p w14:paraId="50752F86">
            <w:pPr>
              <w:jc w:val="center"/>
              <w:rPr>
                <w:rFonts w:hint="eastAsia" w:ascii="仿宋" w:hAnsi="仿宋" w:eastAsia="仿宋"/>
                <w:sz w:val="22"/>
                <w:szCs w:val="22"/>
                <w:highlight w:val="none"/>
              </w:rPr>
            </w:pPr>
            <w:r>
              <w:rPr>
                <w:rFonts w:hint="eastAsia" w:ascii="仿宋" w:hAnsi="仿宋" w:eastAsia="仿宋"/>
                <w:sz w:val="22"/>
                <w:szCs w:val="22"/>
                <w:highlight w:val="none"/>
              </w:rPr>
              <w:t>5分</w:t>
            </w:r>
          </w:p>
        </w:tc>
        <w:tc>
          <w:tcPr>
            <w:tcW w:w="7323" w:type="dxa"/>
            <w:tcBorders>
              <w:top w:val="outset" w:color="auto" w:sz="6" w:space="0"/>
              <w:left w:val="outset" w:color="auto" w:sz="6" w:space="0"/>
              <w:bottom w:val="outset" w:color="auto" w:sz="6" w:space="0"/>
              <w:right w:val="outset" w:color="auto" w:sz="6" w:space="0"/>
            </w:tcBorders>
            <w:vAlign w:val="center"/>
          </w:tcPr>
          <w:p w14:paraId="022312B6">
            <w:pPr>
              <w:rPr>
                <w:rFonts w:hint="eastAsia" w:ascii="仿宋" w:hAnsi="仿宋" w:eastAsia="仿宋"/>
                <w:sz w:val="22"/>
                <w:szCs w:val="22"/>
                <w:highlight w:val="none"/>
              </w:rPr>
            </w:pPr>
            <w:r>
              <w:rPr>
                <w:rFonts w:ascii="仿宋" w:hAnsi="仿宋" w:eastAsia="仿宋"/>
                <w:sz w:val="22"/>
                <w:szCs w:val="22"/>
                <w:highlight w:val="none"/>
              </w:rPr>
              <w:t>根据响应供应商提供售后承诺及人员方案进行综合评分。</w:t>
            </w:r>
          </w:p>
          <w:p w14:paraId="6791CE78">
            <w:pPr>
              <w:rPr>
                <w:rFonts w:hint="eastAsia" w:ascii="仿宋" w:hAnsi="仿宋" w:eastAsia="仿宋"/>
                <w:sz w:val="22"/>
                <w:szCs w:val="22"/>
                <w:highlight w:val="none"/>
              </w:rPr>
            </w:pPr>
            <w:r>
              <w:rPr>
                <w:rFonts w:hint="eastAsia" w:ascii="仿宋" w:hAnsi="仿宋" w:eastAsia="仿宋"/>
                <w:sz w:val="22"/>
                <w:szCs w:val="22"/>
                <w:highlight w:val="none"/>
              </w:rPr>
              <w:t>1.售后承诺及方案、人员配备方案，相关质量、技术保证措施可靠，得5分；</w:t>
            </w:r>
          </w:p>
          <w:p w14:paraId="33D57819">
            <w:pPr>
              <w:rPr>
                <w:rFonts w:hint="eastAsia" w:ascii="仿宋" w:hAnsi="仿宋" w:eastAsia="仿宋"/>
                <w:sz w:val="22"/>
                <w:szCs w:val="22"/>
                <w:highlight w:val="none"/>
              </w:rPr>
            </w:pPr>
            <w:r>
              <w:rPr>
                <w:rFonts w:hint="eastAsia" w:ascii="仿宋" w:hAnsi="仿宋" w:eastAsia="仿宋"/>
                <w:sz w:val="22"/>
                <w:szCs w:val="22"/>
                <w:highlight w:val="none"/>
              </w:rPr>
              <w:t>2.售后承诺及方案、人员配备方案，相关质量、技术保证措施基本满足采购需求，得3分；</w:t>
            </w:r>
          </w:p>
          <w:p w14:paraId="38EF76F2">
            <w:pPr>
              <w:rPr>
                <w:rFonts w:hint="eastAsia" w:ascii="仿宋" w:hAnsi="仿宋" w:eastAsia="仿宋"/>
                <w:sz w:val="22"/>
                <w:szCs w:val="22"/>
                <w:highlight w:val="none"/>
              </w:rPr>
            </w:pPr>
            <w:r>
              <w:rPr>
                <w:rFonts w:hint="eastAsia" w:ascii="仿宋" w:hAnsi="仿宋" w:eastAsia="仿宋"/>
                <w:sz w:val="22"/>
                <w:szCs w:val="22"/>
                <w:highlight w:val="none"/>
              </w:rPr>
              <w:t>3.售后承诺及方案、人员配备方案，相关质量、技术保证措施待进一步完善，得1分；</w:t>
            </w:r>
          </w:p>
          <w:p w14:paraId="3AAD0E8F">
            <w:pPr>
              <w:rPr>
                <w:rFonts w:hint="eastAsia" w:ascii="仿宋" w:hAnsi="仿宋" w:eastAsia="仿宋"/>
                <w:sz w:val="22"/>
                <w:szCs w:val="22"/>
                <w:highlight w:val="none"/>
              </w:rPr>
            </w:pPr>
            <w:r>
              <w:rPr>
                <w:rFonts w:hint="eastAsia" w:ascii="仿宋" w:hAnsi="仿宋" w:eastAsia="仿宋"/>
                <w:sz w:val="22"/>
                <w:szCs w:val="22"/>
                <w:highlight w:val="none"/>
              </w:rPr>
              <w:t>4.方案不可行或者未提供不得分。</w:t>
            </w:r>
          </w:p>
        </w:tc>
      </w:tr>
    </w:tbl>
    <w:p w14:paraId="0C6794C3">
      <w:pPr>
        <w:wordWrap w:val="0"/>
        <w:topLinePunct/>
        <w:spacing w:line="360" w:lineRule="auto"/>
        <w:ind w:firstLine="480" w:firstLineChars="200"/>
        <w:rPr>
          <w:rFonts w:hint="eastAsia" w:ascii="仿宋" w:hAnsi="仿宋" w:eastAsia="仿宋"/>
          <w:sz w:val="24"/>
          <w:szCs w:val="24"/>
          <w:highlight w:val="none"/>
        </w:rPr>
      </w:pPr>
    </w:p>
    <w:p w14:paraId="17B9C1F8">
      <w:pPr>
        <w:rPr>
          <w:rFonts w:eastAsia="仿宋"/>
          <w:b/>
          <w:sz w:val="24"/>
          <w:highlight w:val="none"/>
        </w:rPr>
      </w:pPr>
      <w:bookmarkStart w:id="11" w:name="_Toc19781"/>
      <w:bookmarkStart w:id="12" w:name="_Toc17913"/>
      <w:r>
        <w:rPr>
          <w:rFonts w:eastAsia="仿宋"/>
          <w:b/>
          <w:sz w:val="24"/>
          <w:highlight w:val="none"/>
        </w:rPr>
        <w:t>三、其他</w:t>
      </w:r>
      <w:bookmarkEnd w:id="11"/>
      <w:bookmarkEnd w:id="12"/>
    </w:p>
    <w:p w14:paraId="4B96FB57">
      <w:pPr>
        <w:topLinePunct/>
        <w:spacing w:line="360" w:lineRule="auto"/>
        <w:ind w:firstLine="470" w:firstLineChars="196"/>
        <w:rPr>
          <w:rFonts w:ascii="仿宋" w:hAnsi="仿宋" w:eastAsia="仿宋" w:cs="仿宋"/>
          <w:sz w:val="24"/>
          <w:highlight w:val="none"/>
        </w:rPr>
      </w:pPr>
      <w:r>
        <w:rPr>
          <w:rFonts w:hint="eastAsia" w:ascii="仿宋" w:hAnsi="仿宋" w:eastAsia="仿宋" w:cs="仿宋"/>
          <w:sz w:val="24"/>
          <w:highlight w:val="none"/>
        </w:rPr>
        <w:t>1.</w:t>
      </w:r>
      <w:r>
        <w:rPr>
          <w:rFonts w:ascii="仿宋" w:hAnsi="仿宋" w:eastAsia="仿宋" w:cs="仿宋"/>
          <w:sz w:val="24"/>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BEAEA88">
      <w:pPr>
        <w:wordWrap w:val="0"/>
        <w:topLinePunct/>
        <w:spacing w:line="360" w:lineRule="auto"/>
        <w:ind w:firstLine="470" w:firstLineChars="196"/>
        <w:rPr>
          <w:rFonts w:ascii="仿宋" w:hAnsi="仿宋" w:eastAsia="仿宋" w:cs="仿宋"/>
          <w:sz w:val="24"/>
          <w:highlight w:val="none"/>
        </w:rPr>
      </w:pPr>
      <w:r>
        <w:rPr>
          <w:rFonts w:hint="eastAsia" w:ascii="仿宋" w:hAnsi="仿宋" w:eastAsia="仿宋" w:cs="仿宋"/>
          <w:sz w:val="24"/>
          <w:highlight w:val="none"/>
        </w:rPr>
        <w:t>2.</w:t>
      </w:r>
      <w:r>
        <w:rPr>
          <w:rFonts w:ascii="仿宋" w:hAnsi="仿宋" w:eastAsia="仿宋" w:cs="仿宋"/>
          <w:sz w:val="24"/>
          <w:highlight w:val="none"/>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p w14:paraId="6043709E">
      <w:pPr>
        <w:wordWrap w:val="0"/>
        <w:topLinePunct/>
        <w:spacing w:line="360" w:lineRule="auto"/>
        <w:ind w:firstLine="470" w:firstLineChars="196"/>
        <w:rPr>
          <w:rFonts w:ascii="仿宋" w:hAnsi="仿宋" w:eastAsia="仿宋" w:cs="仿宋"/>
          <w:sz w:val="24"/>
          <w:highlight w:val="none"/>
        </w:rPr>
      </w:pPr>
      <w:r>
        <w:rPr>
          <w:rFonts w:hint="eastAsia" w:ascii="仿宋" w:hAnsi="仿宋" w:eastAsia="仿宋" w:cs="仿宋"/>
          <w:sz w:val="24"/>
          <w:highlight w:val="none"/>
        </w:rPr>
        <w:t>3.</w:t>
      </w:r>
      <w:r>
        <w:rPr>
          <w:rFonts w:ascii="仿宋" w:hAnsi="仿宋" w:eastAsia="仿宋" w:cs="仿宋"/>
          <w:sz w:val="24"/>
          <w:highlight w:val="none"/>
        </w:rPr>
        <w:t>采购人或者采购代理机构不得通过对样品进行检测、对供应商进行考察等方式改变评审结果。</w:t>
      </w:r>
    </w:p>
    <w:p w14:paraId="3AC87DAC">
      <w:pPr>
        <w:wordWrap w:val="0"/>
        <w:topLinePunct/>
        <w:spacing w:line="360" w:lineRule="auto"/>
        <w:ind w:firstLine="470" w:firstLineChars="196"/>
        <w:rPr>
          <w:rFonts w:eastAsia="仿宋"/>
          <w:sz w:val="24"/>
          <w:szCs w:val="24"/>
          <w:highlight w:val="none"/>
        </w:rPr>
      </w:pPr>
      <w:r>
        <w:rPr>
          <w:rFonts w:hint="eastAsia" w:ascii="仿宋" w:hAnsi="仿宋" w:eastAsia="仿宋" w:cs="仿宋"/>
          <w:sz w:val="24"/>
          <w:highlight w:val="none"/>
        </w:rPr>
        <w:t>4.</w:t>
      </w:r>
      <w:r>
        <w:rPr>
          <w:rFonts w:ascii="仿宋" w:hAnsi="仿宋" w:eastAsia="仿宋" w:cs="仿宋"/>
          <w:sz w:val="24"/>
          <w:highlight w:val="none"/>
        </w:rPr>
        <w:t>成交结果公告：公告内容应包括采购人及其委托的代理机构的名称、地址、联系方式，项目名称和项目编号，成交供应商名称、地址和成交金额</w:t>
      </w:r>
      <w:r>
        <w:rPr>
          <w:rFonts w:hint="eastAsia" w:ascii="仿宋" w:hAnsi="仿宋" w:eastAsia="仿宋" w:cs="仿宋"/>
          <w:sz w:val="24"/>
          <w:highlight w:val="none"/>
        </w:rPr>
        <w:t>和</w:t>
      </w:r>
      <w:r>
        <w:rPr>
          <w:rFonts w:ascii="仿宋" w:hAnsi="仿宋" w:eastAsia="仿宋" w:cs="仿宋"/>
          <w:sz w:val="24"/>
          <w:highlight w:val="none"/>
        </w:rPr>
        <w:t>评审被否决单位及原因，成交公告期限以及磋商小组成员名单。</w:t>
      </w:r>
    </w:p>
    <w:p w14:paraId="5487652A">
      <w:pPr>
        <w:spacing w:line="360" w:lineRule="auto"/>
        <w:ind w:firstLine="420" w:firstLineChars="200"/>
        <w:rPr>
          <w:highlight w:val="none"/>
        </w:rPr>
      </w:pPr>
    </w:p>
    <w:p w14:paraId="542AA413">
      <w:pPr>
        <w:spacing w:line="360" w:lineRule="auto"/>
        <w:ind w:firstLine="420" w:firstLineChars="200"/>
        <w:rPr>
          <w:highlight w:val="none"/>
        </w:rPr>
      </w:pPr>
    </w:p>
    <w:sectPr>
      <w:headerReference r:id="rId3" w:type="default"/>
      <w:footerReference r:id="rId4" w:type="default"/>
      <w:footnotePr>
        <w:numFmt w:val="decimalEnclosedCircleChinese"/>
        <w:numRestart w:val="eachPage"/>
      </w:footnotePr>
      <w:pgSz w:w="11905" w:h="16838"/>
      <w:pgMar w:top="1417" w:right="1077" w:bottom="1417" w:left="1083" w:header="851" w:footer="850" w:gutter="0"/>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7A"/>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4596628"/>
      <w:docPartObj>
        <w:docPartGallery w:val="autotext"/>
      </w:docPartObj>
    </w:sdtPr>
    <w:sdtContent>
      <w:p w14:paraId="75337564">
        <w:pPr>
          <w:pStyle w:val="16"/>
          <w:jc w:val="center"/>
        </w:pPr>
        <w:r>
          <w:fldChar w:fldCharType="begin"/>
        </w:r>
        <w:r>
          <w:instrText xml:space="preserve">PAGE   \* MERGEFORMAT</w:instrText>
        </w:r>
        <w:r>
          <w:fldChar w:fldCharType="separate"/>
        </w:r>
        <w:r>
          <w:rPr>
            <w:lang w:val="zh-CN"/>
          </w:rPr>
          <w:t>12</w:t>
        </w:r>
        <w:r>
          <w:rPr>
            <w:lang w:val="zh-CN"/>
          </w:rPr>
          <w:fldChar w:fldCharType="end"/>
        </w:r>
      </w:p>
    </w:sdtContent>
  </w:sdt>
  <w:p w14:paraId="311D6B7A">
    <w:pPr>
      <w:spacing w:line="229" w:lineRule="auto"/>
      <w:ind w:left="5177"/>
      <w:rPr>
        <w:rFonts w:ascii="宋体" w:hAnsi="宋体" w:cs="宋体"/>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23146">
    <w:pPr>
      <w:pStyle w:val="17"/>
      <w:pBdr>
        <w:bottom w:val="none" w:color="auto" w:sz="0" w:space="0"/>
      </w:pBdr>
      <w:jc w:val="both"/>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62729"/>
    <w:multiLevelType w:val="multilevel"/>
    <w:tmpl w:val="1EB62729"/>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DAxYjdhNGZhMTFhMjdiMzk2MjNhODJhNjEwNTEifQ=="/>
  </w:docVars>
  <w:rsids>
    <w:rsidRoot w:val="00647E8A"/>
    <w:rsid w:val="00007979"/>
    <w:rsid w:val="00024057"/>
    <w:rsid w:val="00035B11"/>
    <w:rsid w:val="00043EAD"/>
    <w:rsid w:val="00090378"/>
    <w:rsid w:val="00093964"/>
    <w:rsid w:val="00096AA1"/>
    <w:rsid w:val="000A602C"/>
    <w:rsid w:val="000E0DF1"/>
    <w:rsid w:val="00102358"/>
    <w:rsid w:val="0010669A"/>
    <w:rsid w:val="00115DEF"/>
    <w:rsid w:val="00121E32"/>
    <w:rsid w:val="00136275"/>
    <w:rsid w:val="00142761"/>
    <w:rsid w:val="00166776"/>
    <w:rsid w:val="00173A00"/>
    <w:rsid w:val="00186780"/>
    <w:rsid w:val="001B3838"/>
    <w:rsid w:val="001C618E"/>
    <w:rsid w:val="001C7471"/>
    <w:rsid w:val="001D04C4"/>
    <w:rsid w:val="001D20AA"/>
    <w:rsid w:val="001D7873"/>
    <w:rsid w:val="001F2B6D"/>
    <w:rsid w:val="001F2F7A"/>
    <w:rsid w:val="001F42AF"/>
    <w:rsid w:val="002023FD"/>
    <w:rsid w:val="0020300B"/>
    <w:rsid w:val="002067A0"/>
    <w:rsid w:val="002165F6"/>
    <w:rsid w:val="002201E4"/>
    <w:rsid w:val="0022526F"/>
    <w:rsid w:val="00236AFA"/>
    <w:rsid w:val="0024050E"/>
    <w:rsid w:val="002774FD"/>
    <w:rsid w:val="00290971"/>
    <w:rsid w:val="002A0CA5"/>
    <w:rsid w:val="002A3492"/>
    <w:rsid w:val="002B237C"/>
    <w:rsid w:val="002B45CB"/>
    <w:rsid w:val="002B73AE"/>
    <w:rsid w:val="002D6913"/>
    <w:rsid w:val="002D7A34"/>
    <w:rsid w:val="002E336C"/>
    <w:rsid w:val="002E37A2"/>
    <w:rsid w:val="00304966"/>
    <w:rsid w:val="0031035D"/>
    <w:rsid w:val="00310CC7"/>
    <w:rsid w:val="00310D7E"/>
    <w:rsid w:val="00320C86"/>
    <w:rsid w:val="00323957"/>
    <w:rsid w:val="00332FDE"/>
    <w:rsid w:val="00350C0D"/>
    <w:rsid w:val="003536EE"/>
    <w:rsid w:val="003822F2"/>
    <w:rsid w:val="003844CB"/>
    <w:rsid w:val="0039276F"/>
    <w:rsid w:val="003A12AB"/>
    <w:rsid w:val="003A1939"/>
    <w:rsid w:val="003A51D0"/>
    <w:rsid w:val="003B50EF"/>
    <w:rsid w:val="003C5605"/>
    <w:rsid w:val="003C7EC6"/>
    <w:rsid w:val="003D5075"/>
    <w:rsid w:val="003F1082"/>
    <w:rsid w:val="003F24C7"/>
    <w:rsid w:val="0042338D"/>
    <w:rsid w:val="00426D7E"/>
    <w:rsid w:val="004340BF"/>
    <w:rsid w:val="004353D0"/>
    <w:rsid w:val="00467C59"/>
    <w:rsid w:val="0047314D"/>
    <w:rsid w:val="00477ACA"/>
    <w:rsid w:val="00482129"/>
    <w:rsid w:val="004823F0"/>
    <w:rsid w:val="0049773A"/>
    <w:rsid w:val="004A149C"/>
    <w:rsid w:val="004A3F6A"/>
    <w:rsid w:val="004D7D92"/>
    <w:rsid w:val="004E02D2"/>
    <w:rsid w:val="0050096F"/>
    <w:rsid w:val="00506FAC"/>
    <w:rsid w:val="00507F98"/>
    <w:rsid w:val="005111DD"/>
    <w:rsid w:val="005209F8"/>
    <w:rsid w:val="005344DE"/>
    <w:rsid w:val="00545F97"/>
    <w:rsid w:val="0054686A"/>
    <w:rsid w:val="00547A33"/>
    <w:rsid w:val="00550AC5"/>
    <w:rsid w:val="005531DE"/>
    <w:rsid w:val="005606A2"/>
    <w:rsid w:val="00577340"/>
    <w:rsid w:val="00577FB5"/>
    <w:rsid w:val="005848D0"/>
    <w:rsid w:val="005A11F5"/>
    <w:rsid w:val="005A226C"/>
    <w:rsid w:val="005A4C5C"/>
    <w:rsid w:val="005C65E7"/>
    <w:rsid w:val="005E01F3"/>
    <w:rsid w:val="005E5457"/>
    <w:rsid w:val="005E6750"/>
    <w:rsid w:val="005F4825"/>
    <w:rsid w:val="005F4FAE"/>
    <w:rsid w:val="0060713F"/>
    <w:rsid w:val="00633DE4"/>
    <w:rsid w:val="00637F38"/>
    <w:rsid w:val="00647E8A"/>
    <w:rsid w:val="00651B89"/>
    <w:rsid w:val="00660D76"/>
    <w:rsid w:val="0066170B"/>
    <w:rsid w:val="00662970"/>
    <w:rsid w:val="006663A7"/>
    <w:rsid w:val="00667339"/>
    <w:rsid w:val="00667EF7"/>
    <w:rsid w:val="006A0A7F"/>
    <w:rsid w:val="006B2C00"/>
    <w:rsid w:val="006B6247"/>
    <w:rsid w:val="006C15F8"/>
    <w:rsid w:val="006C2E72"/>
    <w:rsid w:val="006E453E"/>
    <w:rsid w:val="006E48BB"/>
    <w:rsid w:val="006E6FB8"/>
    <w:rsid w:val="006F04DB"/>
    <w:rsid w:val="007020AE"/>
    <w:rsid w:val="00703B1A"/>
    <w:rsid w:val="00707E0D"/>
    <w:rsid w:val="007115FF"/>
    <w:rsid w:val="007208CF"/>
    <w:rsid w:val="007221A0"/>
    <w:rsid w:val="00722977"/>
    <w:rsid w:val="007272FC"/>
    <w:rsid w:val="007310D0"/>
    <w:rsid w:val="00742D40"/>
    <w:rsid w:val="00763BE8"/>
    <w:rsid w:val="007736A0"/>
    <w:rsid w:val="007751CD"/>
    <w:rsid w:val="00784247"/>
    <w:rsid w:val="007926C7"/>
    <w:rsid w:val="007A6C3D"/>
    <w:rsid w:val="007B3109"/>
    <w:rsid w:val="007B5AEE"/>
    <w:rsid w:val="007C17B5"/>
    <w:rsid w:val="007C5AA2"/>
    <w:rsid w:val="007D0757"/>
    <w:rsid w:val="007D701E"/>
    <w:rsid w:val="007E51F0"/>
    <w:rsid w:val="007F22D8"/>
    <w:rsid w:val="007F60CF"/>
    <w:rsid w:val="0080100A"/>
    <w:rsid w:val="00816E2F"/>
    <w:rsid w:val="0082575E"/>
    <w:rsid w:val="00832E2F"/>
    <w:rsid w:val="0084068F"/>
    <w:rsid w:val="00844366"/>
    <w:rsid w:val="00846033"/>
    <w:rsid w:val="00862B38"/>
    <w:rsid w:val="008C040B"/>
    <w:rsid w:val="008C6D1E"/>
    <w:rsid w:val="008D020D"/>
    <w:rsid w:val="008D64AB"/>
    <w:rsid w:val="008E1CFD"/>
    <w:rsid w:val="008E61C1"/>
    <w:rsid w:val="008E7EFA"/>
    <w:rsid w:val="008F1344"/>
    <w:rsid w:val="008F635E"/>
    <w:rsid w:val="009006E7"/>
    <w:rsid w:val="009063B0"/>
    <w:rsid w:val="009110FC"/>
    <w:rsid w:val="00915CD2"/>
    <w:rsid w:val="00943E1C"/>
    <w:rsid w:val="00954791"/>
    <w:rsid w:val="009559A6"/>
    <w:rsid w:val="00964873"/>
    <w:rsid w:val="00972798"/>
    <w:rsid w:val="0098272D"/>
    <w:rsid w:val="009B28BC"/>
    <w:rsid w:val="009C2285"/>
    <w:rsid w:val="009C5A72"/>
    <w:rsid w:val="009D56D8"/>
    <w:rsid w:val="009E164C"/>
    <w:rsid w:val="009E55AF"/>
    <w:rsid w:val="009F2B89"/>
    <w:rsid w:val="00A04EE0"/>
    <w:rsid w:val="00A21DA6"/>
    <w:rsid w:val="00A501BD"/>
    <w:rsid w:val="00A56F50"/>
    <w:rsid w:val="00A659FD"/>
    <w:rsid w:val="00A70492"/>
    <w:rsid w:val="00A71AC1"/>
    <w:rsid w:val="00A77347"/>
    <w:rsid w:val="00A95EF9"/>
    <w:rsid w:val="00A97B75"/>
    <w:rsid w:val="00AA4825"/>
    <w:rsid w:val="00AB2024"/>
    <w:rsid w:val="00AB2EFE"/>
    <w:rsid w:val="00AB559E"/>
    <w:rsid w:val="00AC5726"/>
    <w:rsid w:val="00AC6A3F"/>
    <w:rsid w:val="00AD5E3D"/>
    <w:rsid w:val="00AE39BE"/>
    <w:rsid w:val="00B0392E"/>
    <w:rsid w:val="00B20296"/>
    <w:rsid w:val="00B21737"/>
    <w:rsid w:val="00B263D5"/>
    <w:rsid w:val="00B31549"/>
    <w:rsid w:val="00B317FB"/>
    <w:rsid w:val="00B32F15"/>
    <w:rsid w:val="00B535FA"/>
    <w:rsid w:val="00B640EB"/>
    <w:rsid w:val="00B7685A"/>
    <w:rsid w:val="00B863B7"/>
    <w:rsid w:val="00B95196"/>
    <w:rsid w:val="00BA4504"/>
    <w:rsid w:val="00BC2788"/>
    <w:rsid w:val="00BC7B4D"/>
    <w:rsid w:val="00BD2A37"/>
    <w:rsid w:val="00BE667C"/>
    <w:rsid w:val="00BF32F7"/>
    <w:rsid w:val="00C06046"/>
    <w:rsid w:val="00C0721A"/>
    <w:rsid w:val="00C17061"/>
    <w:rsid w:val="00C1762B"/>
    <w:rsid w:val="00C215EE"/>
    <w:rsid w:val="00C21B73"/>
    <w:rsid w:val="00C2456B"/>
    <w:rsid w:val="00C24707"/>
    <w:rsid w:val="00C275A1"/>
    <w:rsid w:val="00C3291E"/>
    <w:rsid w:val="00C517B4"/>
    <w:rsid w:val="00C54C8E"/>
    <w:rsid w:val="00C84B24"/>
    <w:rsid w:val="00C85226"/>
    <w:rsid w:val="00C853AA"/>
    <w:rsid w:val="00C85638"/>
    <w:rsid w:val="00C9113C"/>
    <w:rsid w:val="00C96D73"/>
    <w:rsid w:val="00CA7985"/>
    <w:rsid w:val="00CD20A8"/>
    <w:rsid w:val="00CD7441"/>
    <w:rsid w:val="00CE01C1"/>
    <w:rsid w:val="00CE4ECA"/>
    <w:rsid w:val="00D017B1"/>
    <w:rsid w:val="00D27572"/>
    <w:rsid w:val="00D37B0B"/>
    <w:rsid w:val="00D43606"/>
    <w:rsid w:val="00D54340"/>
    <w:rsid w:val="00D64EC2"/>
    <w:rsid w:val="00D656BB"/>
    <w:rsid w:val="00D66A36"/>
    <w:rsid w:val="00D75336"/>
    <w:rsid w:val="00D7541E"/>
    <w:rsid w:val="00D8149B"/>
    <w:rsid w:val="00D81C50"/>
    <w:rsid w:val="00DB6B60"/>
    <w:rsid w:val="00DC00B6"/>
    <w:rsid w:val="00DC7237"/>
    <w:rsid w:val="00DD19C9"/>
    <w:rsid w:val="00DE1713"/>
    <w:rsid w:val="00DE2897"/>
    <w:rsid w:val="00E444D8"/>
    <w:rsid w:val="00E7420B"/>
    <w:rsid w:val="00E87CD6"/>
    <w:rsid w:val="00E92DC5"/>
    <w:rsid w:val="00E92EC4"/>
    <w:rsid w:val="00E97E43"/>
    <w:rsid w:val="00EA528E"/>
    <w:rsid w:val="00EA6852"/>
    <w:rsid w:val="00EC0A7C"/>
    <w:rsid w:val="00EC3886"/>
    <w:rsid w:val="00ED7B45"/>
    <w:rsid w:val="00EE4A2A"/>
    <w:rsid w:val="00EF0615"/>
    <w:rsid w:val="00EF2C0C"/>
    <w:rsid w:val="00EF7D70"/>
    <w:rsid w:val="00F02331"/>
    <w:rsid w:val="00F27683"/>
    <w:rsid w:val="00F2795E"/>
    <w:rsid w:val="00F4705D"/>
    <w:rsid w:val="00F47816"/>
    <w:rsid w:val="00F51035"/>
    <w:rsid w:val="00F54EF6"/>
    <w:rsid w:val="00F573A1"/>
    <w:rsid w:val="00F61B18"/>
    <w:rsid w:val="00F64C6F"/>
    <w:rsid w:val="00F675D7"/>
    <w:rsid w:val="00F67CF7"/>
    <w:rsid w:val="00F67D24"/>
    <w:rsid w:val="00F83BA5"/>
    <w:rsid w:val="00F8679C"/>
    <w:rsid w:val="00F9104C"/>
    <w:rsid w:val="00FA3662"/>
    <w:rsid w:val="00FD680D"/>
    <w:rsid w:val="00FE37BA"/>
    <w:rsid w:val="01011432"/>
    <w:rsid w:val="013E13DC"/>
    <w:rsid w:val="01513249"/>
    <w:rsid w:val="01575B6A"/>
    <w:rsid w:val="01722330"/>
    <w:rsid w:val="022D7FF4"/>
    <w:rsid w:val="023C4D4E"/>
    <w:rsid w:val="027B5D27"/>
    <w:rsid w:val="02EC60AC"/>
    <w:rsid w:val="03411FB9"/>
    <w:rsid w:val="03E96AA6"/>
    <w:rsid w:val="0403149B"/>
    <w:rsid w:val="04B4252D"/>
    <w:rsid w:val="04CD32E5"/>
    <w:rsid w:val="04F14B3B"/>
    <w:rsid w:val="04FA6C99"/>
    <w:rsid w:val="051764F9"/>
    <w:rsid w:val="05315A70"/>
    <w:rsid w:val="054117DC"/>
    <w:rsid w:val="05C06BF9"/>
    <w:rsid w:val="05C4073B"/>
    <w:rsid w:val="060774EA"/>
    <w:rsid w:val="06460362"/>
    <w:rsid w:val="06C622DF"/>
    <w:rsid w:val="06D71EC4"/>
    <w:rsid w:val="06D76D3C"/>
    <w:rsid w:val="06F857B3"/>
    <w:rsid w:val="06FD269B"/>
    <w:rsid w:val="0755789A"/>
    <w:rsid w:val="07B742FC"/>
    <w:rsid w:val="07FB616C"/>
    <w:rsid w:val="0807542F"/>
    <w:rsid w:val="08D87495"/>
    <w:rsid w:val="08DC142B"/>
    <w:rsid w:val="0935611C"/>
    <w:rsid w:val="096A354B"/>
    <w:rsid w:val="09921095"/>
    <w:rsid w:val="09992B4F"/>
    <w:rsid w:val="09AD6E8C"/>
    <w:rsid w:val="09EA5159"/>
    <w:rsid w:val="0A20501F"/>
    <w:rsid w:val="0A602D79"/>
    <w:rsid w:val="0AAE73F0"/>
    <w:rsid w:val="0B095AB3"/>
    <w:rsid w:val="0B0C0066"/>
    <w:rsid w:val="0B1C5C89"/>
    <w:rsid w:val="0B1F392F"/>
    <w:rsid w:val="0B224DC6"/>
    <w:rsid w:val="0B281588"/>
    <w:rsid w:val="0B3D266D"/>
    <w:rsid w:val="0B4100C0"/>
    <w:rsid w:val="0B587D76"/>
    <w:rsid w:val="0BA97986"/>
    <w:rsid w:val="0BE73150"/>
    <w:rsid w:val="0C051F47"/>
    <w:rsid w:val="0C3977E8"/>
    <w:rsid w:val="0CEA32B5"/>
    <w:rsid w:val="0CF956B3"/>
    <w:rsid w:val="0D181FDD"/>
    <w:rsid w:val="0D3B73B7"/>
    <w:rsid w:val="0D6121DC"/>
    <w:rsid w:val="0D8118DC"/>
    <w:rsid w:val="0D927FE1"/>
    <w:rsid w:val="0DAA50A8"/>
    <w:rsid w:val="0DC63348"/>
    <w:rsid w:val="0DEA1BCB"/>
    <w:rsid w:val="0DFA7935"/>
    <w:rsid w:val="0E2D3AAA"/>
    <w:rsid w:val="0E484B8F"/>
    <w:rsid w:val="0E8A0D75"/>
    <w:rsid w:val="0E9700E1"/>
    <w:rsid w:val="0F152592"/>
    <w:rsid w:val="0F6B7F75"/>
    <w:rsid w:val="0FDB65A0"/>
    <w:rsid w:val="100623EA"/>
    <w:rsid w:val="1014207A"/>
    <w:rsid w:val="107E0A14"/>
    <w:rsid w:val="10E21942"/>
    <w:rsid w:val="10EF0F1E"/>
    <w:rsid w:val="10F028BF"/>
    <w:rsid w:val="11D35AEB"/>
    <w:rsid w:val="12642FFF"/>
    <w:rsid w:val="12A6524D"/>
    <w:rsid w:val="12C01B75"/>
    <w:rsid w:val="12D150D9"/>
    <w:rsid w:val="13272F7A"/>
    <w:rsid w:val="134B0A26"/>
    <w:rsid w:val="13544B2B"/>
    <w:rsid w:val="13721312"/>
    <w:rsid w:val="14487A42"/>
    <w:rsid w:val="14C65521"/>
    <w:rsid w:val="14DB4524"/>
    <w:rsid w:val="14DC5872"/>
    <w:rsid w:val="14EA54E3"/>
    <w:rsid w:val="14F63DEC"/>
    <w:rsid w:val="15035C84"/>
    <w:rsid w:val="1518530B"/>
    <w:rsid w:val="15380D54"/>
    <w:rsid w:val="16027189"/>
    <w:rsid w:val="164125A5"/>
    <w:rsid w:val="164706C5"/>
    <w:rsid w:val="165740C0"/>
    <w:rsid w:val="168C1346"/>
    <w:rsid w:val="16907088"/>
    <w:rsid w:val="16C16E27"/>
    <w:rsid w:val="16D14F47"/>
    <w:rsid w:val="16F6685A"/>
    <w:rsid w:val="17212E0A"/>
    <w:rsid w:val="174D5B5E"/>
    <w:rsid w:val="17737B41"/>
    <w:rsid w:val="17C4348D"/>
    <w:rsid w:val="1890280E"/>
    <w:rsid w:val="189677FB"/>
    <w:rsid w:val="189E769F"/>
    <w:rsid w:val="18C46E74"/>
    <w:rsid w:val="18E611E1"/>
    <w:rsid w:val="191030A5"/>
    <w:rsid w:val="193006AE"/>
    <w:rsid w:val="195D4000"/>
    <w:rsid w:val="19735515"/>
    <w:rsid w:val="19946C7F"/>
    <w:rsid w:val="1A136006"/>
    <w:rsid w:val="1A763140"/>
    <w:rsid w:val="1AA5469F"/>
    <w:rsid w:val="1AAA12F1"/>
    <w:rsid w:val="1AAC3E26"/>
    <w:rsid w:val="1AB90D3E"/>
    <w:rsid w:val="1B5979EB"/>
    <w:rsid w:val="1B5C5B5E"/>
    <w:rsid w:val="1BAE234A"/>
    <w:rsid w:val="1BB27AA1"/>
    <w:rsid w:val="1BDA0E7E"/>
    <w:rsid w:val="1BEE1DE7"/>
    <w:rsid w:val="1C95122A"/>
    <w:rsid w:val="1CA9529D"/>
    <w:rsid w:val="1CFF49E8"/>
    <w:rsid w:val="1E562EFC"/>
    <w:rsid w:val="1E64575E"/>
    <w:rsid w:val="200F27AB"/>
    <w:rsid w:val="20477261"/>
    <w:rsid w:val="20C54BD8"/>
    <w:rsid w:val="20C9064B"/>
    <w:rsid w:val="214F3A1A"/>
    <w:rsid w:val="21852C8B"/>
    <w:rsid w:val="21CD73E2"/>
    <w:rsid w:val="22254442"/>
    <w:rsid w:val="229C0058"/>
    <w:rsid w:val="22DA7853"/>
    <w:rsid w:val="2316278A"/>
    <w:rsid w:val="231828DF"/>
    <w:rsid w:val="2335523F"/>
    <w:rsid w:val="234F6974"/>
    <w:rsid w:val="239D1036"/>
    <w:rsid w:val="23AA5398"/>
    <w:rsid w:val="245931AF"/>
    <w:rsid w:val="24DB031E"/>
    <w:rsid w:val="265F25D3"/>
    <w:rsid w:val="26BE72FA"/>
    <w:rsid w:val="271361F9"/>
    <w:rsid w:val="271E423C"/>
    <w:rsid w:val="27B6766E"/>
    <w:rsid w:val="27C2080F"/>
    <w:rsid w:val="27C902C4"/>
    <w:rsid w:val="27E34710"/>
    <w:rsid w:val="28A2018C"/>
    <w:rsid w:val="28BC0DA2"/>
    <w:rsid w:val="2948252B"/>
    <w:rsid w:val="295D5D63"/>
    <w:rsid w:val="29A7028A"/>
    <w:rsid w:val="29FB79A9"/>
    <w:rsid w:val="2A0E5EBB"/>
    <w:rsid w:val="2A62368B"/>
    <w:rsid w:val="2A9C58D2"/>
    <w:rsid w:val="2B622E4F"/>
    <w:rsid w:val="2B733CE3"/>
    <w:rsid w:val="2B745DEB"/>
    <w:rsid w:val="2B7B0407"/>
    <w:rsid w:val="2B9D49EE"/>
    <w:rsid w:val="2BA07916"/>
    <w:rsid w:val="2BAE3F2C"/>
    <w:rsid w:val="2BCC4C10"/>
    <w:rsid w:val="2BE710A1"/>
    <w:rsid w:val="2C2876FD"/>
    <w:rsid w:val="2D5B1CAA"/>
    <w:rsid w:val="2DE07934"/>
    <w:rsid w:val="2E1E45B6"/>
    <w:rsid w:val="2E403E6D"/>
    <w:rsid w:val="2E700D18"/>
    <w:rsid w:val="2F03522C"/>
    <w:rsid w:val="2F5F5D71"/>
    <w:rsid w:val="2F924427"/>
    <w:rsid w:val="2FD6182A"/>
    <w:rsid w:val="30480980"/>
    <w:rsid w:val="306B1215"/>
    <w:rsid w:val="30882232"/>
    <w:rsid w:val="30902A56"/>
    <w:rsid w:val="31914E24"/>
    <w:rsid w:val="32071DF0"/>
    <w:rsid w:val="32B04E0F"/>
    <w:rsid w:val="32BA0580"/>
    <w:rsid w:val="33105381"/>
    <w:rsid w:val="33151EBF"/>
    <w:rsid w:val="33181AF5"/>
    <w:rsid w:val="332C38FB"/>
    <w:rsid w:val="332F4A49"/>
    <w:rsid w:val="340A0D5D"/>
    <w:rsid w:val="34904574"/>
    <w:rsid w:val="34D47380"/>
    <w:rsid w:val="35271632"/>
    <w:rsid w:val="35446CE6"/>
    <w:rsid w:val="35450B72"/>
    <w:rsid w:val="35554ABA"/>
    <w:rsid w:val="358A766C"/>
    <w:rsid w:val="35A61757"/>
    <w:rsid w:val="35A87AF3"/>
    <w:rsid w:val="35AD042F"/>
    <w:rsid w:val="35D406AE"/>
    <w:rsid w:val="36070CBD"/>
    <w:rsid w:val="3622143E"/>
    <w:rsid w:val="362269EE"/>
    <w:rsid w:val="3693635A"/>
    <w:rsid w:val="36AB1A24"/>
    <w:rsid w:val="36D13004"/>
    <w:rsid w:val="371F1B73"/>
    <w:rsid w:val="37217B5C"/>
    <w:rsid w:val="37556FAB"/>
    <w:rsid w:val="376B0DD8"/>
    <w:rsid w:val="37E52224"/>
    <w:rsid w:val="37E56DDC"/>
    <w:rsid w:val="37F45DF8"/>
    <w:rsid w:val="388B12FA"/>
    <w:rsid w:val="388E6A41"/>
    <w:rsid w:val="393F1879"/>
    <w:rsid w:val="396226AE"/>
    <w:rsid w:val="399256BC"/>
    <w:rsid w:val="39B60304"/>
    <w:rsid w:val="39B9764B"/>
    <w:rsid w:val="39C92AA7"/>
    <w:rsid w:val="39E76710"/>
    <w:rsid w:val="3A41203B"/>
    <w:rsid w:val="3AA371D3"/>
    <w:rsid w:val="3AB92AC7"/>
    <w:rsid w:val="3AD57AD7"/>
    <w:rsid w:val="3ADE4285"/>
    <w:rsid w:val="3AEC6F0C"/>
    <w:rsid w:val="3B0C6422"/>
    <w:rsid w:val="3B1A1769"/>
    <w:rsid w:val="3B2733A6"/>
    <w:rsid w:val="3B7F1FF5"/>
    <w:rsid w:val="3B84690C"/>
    <w:rsid w:val="3B936AA7"/>
    <w:rsid w:val="3BA12F04"/>
    <w:rsid w:val="3BD10196"/>
    <w:rsid w:val="3BE1766A"/>
    <w:rsid w:val="3BE70535"/>
    <w:rsid w:val="3BF33A92"/>
    <w:rsid w:val="3C033104"/>
    <w:rsid w:val="3C6479E0"/>
    <w:rsid w:val="3C781BD2"/>
    <w:rsid w:val="3C9A7B1E"/>
    <w:rsid w:val="3CA33279"/>
    <w:rsid w:val="3CBE120D"/>
    <w:rsid w:val="3D5F0356"/>
    <w:rsid w:val="3D683A5A"/>
    <w:rsid w:val="3D6950E4"/>
    <w:rsid w:val="3E7FEBD1"/>
    <w:rsid w:val="3E92466B"/>
    <w:rsid w:val="3F374086"/>
    <w:rsid w:val="3F641787"/>
    <w:rsid w:val="3F6E3A36"/>
    <w:rsid w:val="3F7A2244"/>
    <w:rsid w:val="3FE8437C"/>
    <w:rsid w:val="401148F5"/>
    <w:rsid w:val="402C2644"/>
    <w:rsid w:val="40435004"/>
    <w:rsid w:val="40490124"/>
    <w:rsid w:val="40631619"/>
    <w:rsid w:val="4081341A"/>
    <w:rsid w:val="40A240D3"/>
    <w:rsid w:val="40F4369C"/>
    <w:rsid w:val="410079BD"/>
    <w:rsid w:val="41717932"/>
    <w:rsid w:val="41BD64F8"/>
    <w:rsid w:val="42321BC1"/>
    <w:rsid w:val="424E6BEF"/>
    <w:rsid w:val="433424DD"/>
    <w:rsid w:val="438C799B"/>
    <w:rsid w:val="43A748AE"/>
    <w:rsid w:val="442A75B3"/>
    <w:rsid w:val="445E1FE2"/>
    <w:rsid w:val="44A50E37"/>
    <w:rsid w:val="44F71EFD"/>
    <w:rsid w:val="45115437"/>
    <w:rsid w:val="451E1B6D"/>
    <w:rsid w:val="45267B3B"/>
    <w:rsid w:val="45412AF8"/>
    <w:rsid w:val="461C12D1"/>
    <w:rsid w:val="46D9665B"/>
    <w:rsid w:val="47150D60"/>
    <w:rsid w:val="473E6E25"/>
    <w:rsid w:val="476A2E5A"/>
    <w:rsid w:val="47D20321"/>
    <w:rsid w:val="48302518"/>
    <w:rsid w:val="484D378F"/>
    <w:rsid w:val="489932CB"/>
    <w:rsid w:val="49703F3A"/>
    <w:rsid w:val="499F47CA"/>
    <w:rsid w:val="4ADD7DE7"/>
    <w:rsid w:val="4B053F8F"/>
    <w:rsid w:val="4B2D7C1F"/>
    <w:rsid w:val="4BB93196"/>
    <w:rsid w:val="4BF97359"/>
    <w:rsid w:val="4C43011D"/>
    <w:rsid w:val="4C4B4628"/>
    <w:rsid w:val="4CC94E37"/>
    <w:rsid w:val="4D1C3054"/>
    <w:rsid w:val="4E317720"/>
    <w:rsid w:val="4E921830"/>
    <w:rsid w:val="4E9B0D82"/>
    <w:rsid w:val="4EA366BE"/>
    <w:rsid w:val="4EC0385E"/>
    <w:rsid w:val="4F8612F0"/>
    <w:rsid w:val="505A77E4"/>
    <w:rsid w:val="51AE4EEA"/>
    <w:rsid w:val="52183ABE"/>
    <w:rsid w:val="52383B1A"/>
    <w:rsid w:val="52544CB8"/>
    <w:rsid w:val="52AF68FA"/>
    <w:rsid w:val="52EB4D8D"/>
    <w:rsid w:val="53196E29"/>
    <w:rsid w:val="53332C9A"/>
    <w:rsid w:val="53397E1D"/>
    <w:rsid w:val="539A6232"/>
    <w:rsid w:val="53BC40C4"/>
    <w:rsid w:val="53BF1A79"/>
    <w:rsid w:val="53ED0ADE"/>
    <w:rsid w:val="546E432B"/>
    <w:rsid w:val="54A173FC"/>
    <w:rsid w:val="5545755E"/>
    <w:rsid w:val="561D375E"/>
    <w:rsid w:val="5625683F"/>
    <w:rsid w:val="569824A6"/>
    <w:rsid w:val="56AB13DB"/>
    <w:rsid w:val="56BD4DF9"/>
    <w:rsid w:val="57091A30"/>
    <w:rsid w:val="57DA389D"/>
    <w:rsid w:val="58052D5D"/>
    <w:rsid w:val="58201313"/>
    <w:rsid w:val="58682414"/>
    <w:rsid w:val="59277E74"/>
    <w:rsid w:val="5A2374DB"/>
    <w:rsid w:val="5AA224B3"/>
    <w:rsid w:val="5B255E90"/>
    <w:rsid w:val="5B3E21DC"/>
    <w:rsid w:val="5B6C2D6A"/>
    <w:rsid w:val="5B8D265D"/>
    <w:rsid w:val="5BAE6D91"/>
    <w:rsid w:val="5BC87862"/>
    <w:rsid w:val="5BE82147"/>
    <w:rsid w:val="5C4E28F2"/>
    <w:rsid w:val="5C827FB5"/>
    <w:rsid w:val="5CC6029D"/>
    <w:rsid w:val="5D462040"/>
    <w:rsid w:val="5D5D7B92"/>
    <w:rsid w:val="5DB02078"/>
    <w:rsid w:val="5E257683"/>
    <w:rsid w:val="5E3378E4"/>
    <w:rsid w:val="5E6462F8"/>
    <w:rsid w:val="5E84164A"/>
    <w:rsid w:val="5EC14F51"/>
    <w:rsid w:val="5F4E2624"/>
    <w:rsid w:val="5F7426C3"/>
    <w:rsid w:val="5FAA58A2"/>
    <w:rsid w:val="5FB66546"/>
    <w:rsid w:val="5FF612D7"/>
    <w:rsid w:val="5FFE1F2A"/>
    <w:rsid w:val="6058233C"/>
    <w:rsid w:val="610D7506"/>
    <w:rsid w:val="614150A5"/>
    <w:rsid w:val="6182292A"/>
    <w:rsid w:val="619F0908"/>
    <w:rsid w:val="61B74A96"/>
    <w:rsid w:val="621974FF"/>
    <w:rsid w:val="62694FD7"/>
    <w:rsid w:val="62D17B14"/>
    <w:rsid w:val="634405AB"/>
    <w:rsid w:val="6361115D"/>
    <w:rsid w:val="63C65464"/>
    <w:rsid w:val="63D97876"/>
    <w:rsid w:val="640A35A3"/>
    <w:rsid w:val="641C384D"/>
    <w:rsid w:val="64437325"/>
    <w:rsid w:val="64504AA5"/>
    <w:rsid w:val="64FC2501"/>
    <w:rsid w:val="650417B4"/>
    <w:rsid w:val="652A18F6"/>
    <w:rsid w:val="65B76243"/>
    <w:rsid w:val="65C36105"/>
    <w:rsid w:val="6612440D"/>
    <w:rsid w:val="667003CB"/>
    <w:rsid w:val="66705E3E"/>
    <w:rsid w:val="66A86EAA"/>
    <w:rsid w:val="66F20950"/>
    <w:rsid w:val="67196BDF"/>
    <w:rsid w:val="67ED7463"/>
    <w:rsid w:val="683A2B99"/>
    <w:rsid w:val="68772513"/>
    <w:rsid w:val="68EB0E82"/>
    <w:rsid w:val="69330DF7"/>
    <w:rsid w:val="696F085A"/>
    <w:rsid w:val="69756043"/>
    <w:rsid w:val="69A70FD9"/>
    <w:rsid w:val="69E91095"/>
    <w:rsid w:val="69EE2A2B"/>
    <w:rsid w:val="69F41323"/>
    <w:rsid w:val="6A0F3F52"/>
    <w:rsid w:val="6A1022AF"/>
    <w:rsid w:val="6A215FB6"/>
    <w:rsid w:val="6A2C767A"/>
    <w:rsid w:val="6A4C6629"/>
    <w:rsid w:val="6AAB463D"/>
    <w:rsid w:val="6B5548F3"/>
    <w:rsid w:val="6B982E8A"/>
    <w:rsid w:val="6BCF0FC1"/>
    <w:rsid w:val="6C07486C"/>
    <w:rsid w:val="6CA860CC"/>
    <w:rsid w:val="6D5668F5"/>
    <w:rsid w:val="6D7221B9"/>
    <w:rsid w:val="6D7D15FA"/>
    <w:rsid w:val="6DC5580F"/>
    <w:rsid w:val="6DD96005"/>
    <w:rsid w:val="6E424F28"/>
    <w:rsid w:val="6E672B62"/>
    <w:rsid w:val="6EE3443C"/>
    <w:rsid w:val="6F467997"/>
    <w:rsid w:val="6F4D4C8B"/>
    <w:rsid w:val="6F725DE7"/>
    <w:rsid w:val="6FA61088"/>
    <w:rsid w:val="6FAE5D58"/>
    <w:rsid w:val="6FB4705C"/>
    <w:rsid w:val="6FE608AD"/>
    <w:rsid w:val="70552964"/>
    <w:rsid w:val="70AB7B74"/>
    <w:rsid w:val="70CB5E68"/>
    <w:rsid w:val="70EB7928"/>
    <w:rsid w:val="70F14B41"/>
    <w:rsid w:val="70FA0577"/>
    <w:rsid w:val="70FF7E5A"/>
    <w:rsid w:val="715876D5"/>
    <w:rsid w:val="71973540"/>
    <w:rsid w:val="71CA45EA"/>
    <w:rsid w:val="72167195"/>
    <w:rsid w:val="72452431"/>
    <w:rsid w:val="72501D1B"/>
    <w:rsid w:val="72B25BFA"/>
    <w:rsid w:val="72E572B7"/>
    <w:rsid w:val="72F32619"/>
    <w:rsid w:val="730C3C7B"/>
    <w:rsid w:val="73893DB8"/>
    <w:rsid w:val="738A200A"/>
    <w:rsid w:val="73927CFE"/>
    <w:rsid w:val="743F2E1D"/>
    <w:rsid w:val="744C0E93"/>
    <w:rsid w:val="744F5002"/>
    <w:rsid w:val="74B86703"/>
    <w:rsid w:val="74E57F45"/>
    <w:rsid w:val="755238BA"/>
    <w:rsid w:val="75714A87"/>
    <w:rsid w:val="75F979C7"/>
    <w:rsid w:val="75FE45EA"/>
    <w:rsid w:val="766D176F"/>
    <w:rsid w:val="76B15B00"/>
    <w:rsid w:val="76DB2D69"/>
    <w:rsid w:val="77011EFF"/>
    <w:rsid w:val="785533AE"/>
    <w:rsid w:val="7856744F"/>
    <w:rsid w:val="789F35CB"/>
    <w:rsid w:val="79085893"/>
    <w:rsid w:val="791B54B2"/>
    <w:rsid w:val="79384FAC"/>
    <w:rsid w:val="794067DE"/>
    <w:rsid w:val="79B5375E"/>
    <w:rsid w:val="79FE2067"/>
    <w:rsid w:val="7A122D59"/>
    <w:rsid w:val="7AE41816"/>
    <w:rsid w:val="7B7D4018"/>
    <w:rsid w:val="7B9652C4"/>
    <w:rsid w:val="7B9A0D31"/>
    <w:rsid w:val="7BA831E0"/>
    <w:rsid w:val="7BD52290"/>
    <w:rsid w:val="7BED6023"/>
    <w:rsid w:val="7BF941A7"/>
    <w:rsid w:val="7C077F47"/>
    <w:rsid w:val="7C3D4166"/>
    <w:rsid w:val="7C87222B"/>
    <w:rsid w:val="7CAC3873"/>
    <w:rsid w:val="7D26481B"/>
    <w:rsid w:val="7D9D1C6D"/>
    <w:rsid w:val="7E363370"/>
    <w:rsid w:val="7E56027F"/>
    <w:rsid w:val="7EB05B1E"/>
    <w:rsid w:val="7EBC3B65"/>
    <w:rsid w:val="7EC50B11"/>
    <w:rsid w:val="7F2A491A"/>
    <w:rsid w:val="7F3B4137"/>
    <w:rsid w:val="7F3B48FE"/>
    <w:rsid w:val="7F687D53"/>
    <w:rsid w:val="7FC15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qFormat/>
    <w:uiPriority w:val="0"/>
    <w:pPr>
      <w:keepNext/>
      <w:keepLines/>
      <w:spacing w:before="340" w:after="330" w:line="576" w:lineRule="auto"/>
      <w:outlineLvl w:val="0"/>
    </w:pPr>
    <w:rPr>
      <w:b/>
      <w:kern w:val="44"/>
      <w:sz w:val="44"/>
    </w:rPr>
  </w:style>
  <w:style w:type="paragraph" w:styleId="6">
    <w:name w:val="heading 2"/>
    <w:basedOn w:val="1"/>
    <w:next w:val="1"/>
    <w:qFormat/>
    <w:uiPriority w:val="0"/>
    <w:pPr>
      <w:keepNext/>
      <w:keepLines/>
      <w:spacing w:before="260" w:after="260" w:line="416" w:lineRule="auto"/>
      <w:ind w:firstLine="628"/>
      <w:jc w:val="center"/>
      <w:outlineLvl w:val="1"/>
    </w:pPr>
    <w:rPr>
      <w:rFonts w:ascii="Arial" w:hAnsi="Arial" w:eastAsia="黑体"/>
      <w:b/>
      <w:bCs/>
      <w:kern w:val="0"/>
      <w:sz w:val="32"/>
      <w:szCs w:val="32"/>
    </w:rPr>
  </w:style>
  <w:style w:type="paragraph" w:styleId="7">
    <w:name w:val="heading 3"/>
    <w:basedOn w:val="1"/>
    <w:next w:val="1"/>
    <w:qFormat/>
    <w:uiPriority w:val="0"/>
    <w:pPr>
      <w:keepNext/>
      <w:keepLines/>
      <w:spacing w:before="260" w:after="260" w:line="416" w:lineRule="auto"/>
      <w:outlineLvl w:val="2"/>
    </w:pPr>
    <w:rPr>
      <w:b/>
      <w:bCs/>
      <w:kern w:val="0"/>
      <w:sz w:val="32"/>
      <w:szCs w:val="32"/>
    </w:rPr>
  </w:style>
  <w:style w:type="paragraph" w:styleId="8">
    <w:name w:val="heading 4"/>
    <w:basedOn w:val="1"/>
    <w:next w:val="1"/>
    <w:qFormat/>
    <w:uiPriority w:val="9"/>
    <w:pPr>
      <w:widowControl/>
      <w:spacing w:before="100" w:beforeAutospacing="1" w:after="100" w:afterAutospacing="1"/>
      <w:jc w:val="left"/>
      <w:outlineLvl w:val="3"/>
    </w:pPr>
    <w:rPr>
      <w:rFonts w:ascii="宋体" w:hAnsi="宋体"/>
      <w:b/>
      <w:bCs/>
      <w:kern w:val="0"/>
      <w:sz w:val="24"/>
    </w:rPr>
  </w:style>
  <w:style w:type="paragraph" w:styleId="9">
    <w:name w:val="heading 5"/>
    <w:basedOn w:val="1"/>
    <w:next w:val="1"/>
    <w:link w:val="41"/>
    <w:qFormat/>
    <w:uiPriority w:val="9"/>
    <w:pPr>
      <w:widowControl/>
      <w:spacing w:before="100" w:beforeAutospacing="1" w:after="100" w:afterAutospacing="1"/>
      <w:jc w:val="left"/>
      <w:outlineLvl w:val="4"/>
    </w:pPr>
    <w:rPr>
      <w:rFonts w:ascii="宋体" w:hAnsi="宋体"/>
      <w:b/>
      <w:bCs/>
      <w:kern w:val="0"/>
      <w:sz w:val="20"/>
      <w:szCs w:val="20"/>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left="420" w:firstLine="420" w:firstLineChars="200"/>
    </w:pPr>
  </w:style>
  <w:style w:type="paragraph" w:styleId="3">
    <w:name w:val="Body Text Indent"/>
    <w:basedOn w:val="1"/>
    <w:next w:val="4"/>
    <w:qFormat/>
    <w:uiPriority w:val="0"/>
    <w:pPr>
      <w:spacing w:after="120"/>
      <w:ind w:left="200" w:leftChars="200"/>
    </w:pPr>
  </w:style>
  <w:style w:type="paragraph" w:styleId="4">
    <w:name w:val="envelope return"/>
    <w:basedOn w:val="1"/>
    <w:qFormat/>
    <w:uiPriority w:val="0"/>
    <w:pPr>
      <w:snapToGrid w:val="0"/>
    </w:pPr>
    <w:rPr>
      <w:rFonts w:ascii="Arial" w:hAnsi="Arial"/>
    </w:rPr>
  </w:style>
  <w:style w:type="paragraph" w:styleId="10">
    <w:name w:val="toa heading"/>
    <w:basedOn w:val="1"/>
    <w:next w:val="1"/>
    <w:qFormat/>
    <w:uiPriority w:val="0"/>
    <w:rPr>
      <w:rFonts w:ascii="Arial" w:hAnsi="Arial" w:eastAsia="宋体" w:cs="Times New Roman"/>
      <w:sz w:val="24"/>
      <w:szCs w:val="24"/>
    </w:rPr>
  </w:style>
  <w:style w:type="paragraph" w:styleId="11">
    <w:name w:val="annotation text"/>
    <w:basedOn w:val="1"/>
    <w:link w:val="42"/>
    <w:qFormat/>
    <w:uiPriority w:val="0"/>
    <w:pPr>
      <w:jc w:val="left"/>
    </w:pPr>
    <w:rPr>
      <w:kern w:val="0"/>
    </w:rPr>
  </w:style>
  <w:style w:type="paragraph" w:styleId="12">
    <w:name w:val="Body Text"/>
    <w:basedOn w:val="1"/>
    <w:link w:val="43"/>
    <w:qFormat/>
    <w:uiPriority w:val="0"/>
    <w:pPr>
      <w:spacing w:line="300" w:lineRule="auto"/>
      <w:jc w:val="center"/>
    </w:pPr>
    <w:rPr>
      <w:b/>
      <w:bCs/>
      <w:sz w:val="44"/>
      <w:szCs w:val="24"/>
    </w:rPr>
  </w:style>
  <w:style w:type="paragraph" w:styleId="13">
    <w:name w:val="index 4"/>
    <w:basedOn w:val="1"/>
    <w:next w:val="1"/>
    <w:qFormat/>
    <w:uiPriority w:val="99"/>
    <w:pPr>
      <w:ind w:left="600" w:leftChars="600"/>
    </w:pPr>
    <w:rPr>
      <w:rFonts w:ascii="Calibri" w:hAnsi="Calibri"/>
      <w:szCs w:val="24"/>
    </w:rPr>
  </w:style>
  <w:style w:type="paragraph" w:styleId="14">
    <w:name w:val="Plain Text"/>
    <w:basedOn w:val="1"/>
    <w:qFormat/>
    <w:uiPriority w:val="0"/>
    <w:rPr>
      <w:rFonts w:ascii="宋体" w:hAnsi="Courier New"/>
      <w:kern w:val="0"/>
      <w:szCs w:val="20"/>
    </w:rPr>
  </w:style>
  <w:style w:type="paragraph" w:styleId="15">
    <w:name w:val="Balloon Text"/>
    <w:basedOn w:val="1"/>
    <w:link w:val="44"/>
    <w:qFormat/>
    <w:uiPriority w:val="0"/>
    <w:rPr>
      <w:sz w:val="18"/>
      <w:szCs w:val="18"/>
    </w:rPr>
  </w:style>
  <w:style w:type="paragraph" w:styleId="16">
    <w:name w:val="footer"/>
    <w:basedOn w:val="1"/>
    <w:link w:val="45"/>
    <w:qFormat/>
    <w:uiPriority w:val="99"/>
    <w:pPr>
      <w:tabs>
        <w:tab w:val="center" w:pos="4153"/>
        <w:tab w:val="right" w:pos="8306"/>
      </w:tabs>
      <w:snapToGrid w:val="0"/>
      <w:jc w:val="left"/>
    </w:pPr>
    <w:rPr>
      <w:kern w:val="0"/>
      <w:sz w:val="18"/>
      <w:szCs w:val="20"/>
    </w:rPr>
  </w:style>
  <w:style w:type="paragraph" w:styleId="17">
    <w:name w:val="header"/>
    <w:basedOn w:val="1"/>
    <w:link w:val="46"/>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toc 1"/>
    <w:basedOn w:val="1"/>
    <w:next w:val="1"/>
    <w:qFormat/>
    <w:uiPriority w:val="0"/>
  </w:style>
  <w:style w:type="paragraph" w:styleId="19">
    <w:name w:val="footnote text"/>
    <w:basedOn w:val="1"/>
    <w:qFormat/>
    <w:uiPriority w:val="0"/>
    <w:pPr>
      <w:snapToGrid w:val="0"/>
      <w:jc w:val="left"/>
    </w:pPr>
    <w:rPr>
      <w:sz w:val="18"/>
    </w:rPr>
  </w:style>
  <w:style w:type="paragraph" w:styleId="20">
    <w:name w:val="Normal (Web)"/>
    <w:basedOn w:val="1"/>
    <w:qFormat/>
    <w:uiPriority w:val="0"/>
    <w:pPr>
      <w:widowControl/>
      <w:jc w:val="left"/>
    </w:pPr>
    <w:rPr>
      <w:rFonts w:ascii="宋体" w:hAnsi="宋体" w:cs="宋体"/>
      <w:kern w:val="0"/>
      <w:sz w:val="24"/>
      <w:szCs w:val="24"/>
    </w:rPr>
  </w:style>
  <w:style w:type="paragraph" w:styleId="21">
    <w:name w:val="annotation subject"/>
    <w:basedOn w:val="11"/>
    <w:next w:val="11"/>
    <w:link w:val="47"/>
    <w:qFormat/>
    <w:uiPriority w:val="0"/>
    <w:rPr>
      <w:b/>
      <w:bCs/>
      <w:kern w:val="2"/>
    </w:rPr>
  </w:style>
  <w:style w:type="paragraph" w:styleId="22">
    <w:name w:val="Body Text First Indent"/>
    <w:basedOn w:val="12"/>
    <w:unhideWhenUsed/>
    <w:qFormat/>
    <w:uiPriority w:val="99"/>
    <w:pPr>
      <w:ind w:firstLine="420" w:firstLineChars="1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0"/>
    <w:rPr>
      <w:b/>
      <w:bCs/>
    </w:rPr>
  </w:style>
  <w:style w:type="character" w:styleId="27">
    <w:name w:val="page number"/>
    <w:unhideWhenUsed/>
    <w:qFormat/>
    <w:uiPriority w:val="0"/>
  </w:style>
  <w:style w:type="character" w:styleId="28">
    <w:name w:val="FollowedHyperlink"/>
    <w:qFormat/>
    <w:uiPriority w:val="0"/>
    <w:rPr>
      <w:color w:val="800080"/>
      <w:u w:val="none"/>
    </w:rPr>
  </w:style>
  <w:style w:type="character" w:styleId="29">
    <w:name w:val="Emphasis"/>
    <w:qFormat/>
    <w:uiPriority w:val="0"/>
    <w:rPr>
      <w:b/>
      <w:bCs/>
    </w:rPr>
  </w:style>
  <w:style w:type="character" w:styleId="30">
    <w:name w:val="HTML Definition"/>
    <w:qFormat/>
    <w:uiPriority w:val="0"/>
  </w:style>
  <w:style w:type="character" w:styleId="31">
    <w:name w:val="HTML Typewriter"/>
    <w:qFormat/>
    <w:uiPriority w:val="0"/>
    <w:rPr>
      <w:rFonts w:hint="default" w:ascii="monospace" w:hAnsi="monospace" w:eastAsia="monospace" w:cs="monospace"/>
      <w:sz w:val="20"/>
    </w:rPr>
  </w:style>
  <w:style w:type="character" w:styleId="32">
    <w:name w:val="HTML Acronym"/>
    <w:qFormat/>
    <w:uiPriority w:val="0"/>
    <w:rPr>
      <w:bdr w:val="single" w:color="BDBEC1" w:sz="2" w:space="0"/>
      <w:shd w:val="clear" w:color="auto" w:fill="FFFFFF"/>
    </w:rPr>
  </w:style>
  <w:style w:type="character" w:styleId="33">
    <w:name w:val="HTML Variable"/>
    <w:qFormat/>
    <w:uiPriority w:val="0"/>
  </w:style>
  <w:style w:type="character" w:styleId="34">
    <w:name w:val="Hyperlink"/>
    <w:qFormat/>
    <w:uiPriority w:val="0"/>
    <w:rPr>
      <w:rFonts w:cs="Times New Roman"/>
      <w:color w:val="0000FF"/>
      <w:u w:val="none"/>
    </w:rPr>
  </w:style>
  <w:style w:type="character" w:styleId="35">
    <w:name w:val="HTML Code"/>
    <w:qFormat/>
    <w:uiPriority w:val="0"/>
    <w:rPr>
      <w:rFonts w:ascii="monospace" w:hAnsi="monospace" w:eastAsia="monospace" w:cs="monospace"/>
      <w:sz w:val="20"/>
    </w:rPr>
  </w:style>
  <w:style w:type="character" w:styleId="36">
    <w:name w:val="annotation reference"/>
    <w:semiHidden/>
    <w:qFormat/>
    <w:uiPriority w:val="0"/>
    <w:rPr>
      <w:rFonts w:cs="Times New Roman"/>
      <w:sz w:val="21"/>
    </w:rPr>
  </w:style>
  <w:style w:type="character" w:styleId="37">
    <w:name w:val="HTML Cite"/>
    <w:qFormat/>
    <w:uiPriority w:val="0"/>
  </w:style>
  <w:style w:type="character" w:styleId="38">
    <w:name w:val="footnote reference"/>
    <w:qFormat/>
    <w:uiPriority w:val="0"/>
    <w:rPr>
      <w:vertAlign w:val="superscript"/>
    </w:rPr>
  </w:style>
  <w:style w:type="character" w:styleId="39">
    <w:name w:val="HTML Keyboard"/>
    <w:qFormat/>
    <w:uiPriority w:val="0"/>
    <w:rPr>
      <w:rFonts w:hint="default" w:ascii="monospace" w:hAnsi="monospace" w:eastAsia="monospace" w:cs="monospace"/>
      <w:sz w:val="20"/>
    </w:rPr>
  </w:style>
  <w:style w:type="character" w:styleId="40">
    <w:name w:val="HTML Sample"/>
    <w:qFormat/>
    <w:uiPriority w:val="0"/>
    <w:rPr>
      <w:rFonts w:hint="default" w:ascii="monospace" w:hAnsi="monospace" w:eastAsia="monospace" w:cs="monospace"/>
    </w:rPr>
  </w:style>
  <w:style w:type="character" w:customStyle="1" w:styleId="41">
    <w:name w:val="标题 5 Char"/>
    <w:link w:val="9"/>
    <w:qFormat/>
    <w:uiPriority w:val="9"/>
    <w:rPr>
      <w:rFonts w:ascii="宋体" w:hAnsi="宋体"/>
      <w:b/>
      <w:bCs/>
    </w:rPr>
  </w:style>
  <w:style w:type="character" w:customStyle="1" w:styleId="42">
    <w:name w:val="批注文字 Char"/>
    <w:link w:val="11"/>
    <w:qFormat/>
    <w:locked/>
    <w:uiPriority w:val="0"/>
    <w:rPr>
      <w:rFonts w:ascii="Times New Roman" w:hAnsi="Times New Roman"/>
      <w:sz w:val="21"/>
      <w:szCs w:val="21"/>
    </w:rPr>
  </w:style>
  <w:style w:type="character" w:customStyle="1" w:styleId="43">
    <w:name w:val="正文文本 Char"/>
    <w:link w:val="12"/>
    <w:qFormat/>
    <w:uiPriority w:val="0"/>
    <w:rPr>
      <w:rFonts w:ascii="Times New Roman" w:hAnsi="Times New Roman"/>
      <w:b/>
      <w:bCs/>
      <w:kern w:val="2"/>
      <w:sz w:val="44"/>
      <w:szCs w:val="24"/>
    </w:rPr>
  </w:style>
  <w:style w:type="character" w:customStyle="1" w:styleId="44">
    <w:name w:val="批注框文本 Char"/>
    <w:link w:val="15"/>
    <w:qFormat/>
    <w:uiPriority w:val="0"/>
    <w:rPr>
      <w:rFonts w:ascii="Times New Roman" w:hAnsi="Times New Roman"/>
      <w:kern w:val="2"/>
      <w:sz w:val="18"/>
      <w:szCs w:val="18"/>
    </w:rPr>
  </w:style>
  <w:style w:type="character" w:customStyle="1" w:styleId="45">
    <w:name w:val="页脚 Char"/>
    <w:link w:val="16"/>
    <w:qFormat/>
    <w:uiPriority w:val="99"/>
    <w:rPr>
      <w:rFonts w:ascii="Times New Roman" w:hAnsi="Times New Roman"/>
      <w:sz w:val="18"/>
    </w:rPr>
  </w:style>
  <w:style w:type="character" w:customStyle="1" w:styleId="46">
    <w:name w:val="页眉 Char"/>
    <w:link w:val="17"/>
    <w:qFormat/>
    <w:uiPriority w:val="0"/>
    <w:rPr>
      <w:rFonts w:ascii="Times New Roman" w:hAnsi="Times New Roman"/>
      <w:sz w:val="18"/>
    </w:rPr>
  </w:style>
  <w:style w:type="character" w:customStyle="1" w:styleId="47">
    <w:name w:val="批注主题 Char"/>
    <w:link w:val="21"/>
    <w:qFormat/>
    <w:uiPriority w:val="0"/>
    <w:rPr>
      <w:rFonts w:ascii="Times New Roman" w:hAnsi="Times New Roman"/>
      <w:b/>
      <w:bCs/>
      <w:kern w:val="2"/>
      <w:sz w:val="21"/>
      <w:szCs w:val="21"/>
    </w:rPr>
  </w:style>
  <w:style w:type="paragraph" w:styleId="4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0">
    <w:name w:val="Body text|1"/>
    <w:basedOn w:val="1"/>
    <w:qFormat/>
    <w:uiPriority w:val="0"/>
    <w:pPr>
      <w:spacing w:line="415" w:lineRule="auto"/>
      <w:ind w:firstLine="400"/>
    </w:pPr>
    <w:rPr>
      <w:rFonts w:ascii="宋体" w:hAnsi="宋体" w:cs="宋体"/>
      <w:color w:val="44505D"/>
      <w:sz w:val="28"/>
      <w:szCs w:val="28"/>
      <w:lang w:val="zh-TW" w:eastAsia="zh-TW" w:bidi="zh-TW"/>
    </w:rPr>
  </w:style>
  <w:style w:type="paragraph" w:customStyle="1" w:styleId="51">
    <w:name w:val="Body text|5"/>
    <w:basedOn w:val="1"/>
    <w:qFormat/>
    <w:uiPriority w:val="0"/>
    <w:pPr>
      <w:ind w:hanging="1840"/>
    </w:pPr>
    <w:rPr>
      <w:sz w:val="10"/>
      <w:szCs w:val="10"/>
      <w:u w:val="single"/>
      <w:lang w:val="zh-CN"/>
    </w:rPr>
  </w:style>
  <w:style w:type="paragraph" w:customStyle="1" w:styleId="52">
    <w:name w:val="Normal_0"/>
    <w:qFormat/>
    <w:uiPriority w:val="0"/>
    <w:rPr>
      <w:rFonts w:ascii="Times New Roman" w:hAnsi="Times New Roman" w:eastAsia="宋体" w:cs="Times New Roman"/>
      <w:sz w:val="24"/>
      <w:szCs w:val="24"/>
      <w:lang w:val="en-US" w:eastAsia="zh-CN" w:bidi="ar-SA"/>
    </w:rPr>
  </w:style>
  <w:style w:type="paragraph" w:customStyle="1" w:styleId="53">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54">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55">
    <w:name w:val="修订1"/>
    <w:unhideWhenUsed/>
    <w:qFormat/>
    <w:uiPriority w:val="99"/>
    <w:rPr>
      <w:rFonts w:ascii="Times New Roman" w:hAnsi="Times New Roman" w:eastAsia="宋体" w:cs="Times New Roman"/>
      <w:kern w:val="2"/>
      <w:sz w:val="21"/>
      <w:szCs w:val="21"/>
      <w:lang w:val="en-US" w:eastAsia="zh-CN" w:bidi="ar-SA"/>
    </w:rPr>
  </w:style>
  <w:style w:type="character" w:customStyle="1" w:styleId="56">
    <w:name w:val="mini-outputtext1"/>
    <w:qFormat/>
    <w:uiPriority w:val="0"/>
  </w:style>
  <w:style w:type="paragraph" w:customStyle="1" w:styleId="57">
    <w:name w:val="Table Text"/>
    <w:basedOn w:val="1"/>
    <w:semiHidden/>
    <w:qFormat/>
    <w:uiPriority w:val="0"/>
    <w:rPr>
      <w:rFonts w:ascii="仿宋" w:hAnsi="仿宋" w:eastAsia="仿宋" w:cs="仿宋"/>
      <w:sz w:val="24"/>
      <w:szCs w:val="24"/>
      <w:lang w:eastAsia="en-US"/>
    </w:rPr>
  </w:style>
  <w:style w:type="character" w:customStyle="1" w:styleId="58">
    <w:name w:val="font01"/>
    <w:basedOn w:val="25"/>
    <w:qFormat/>
    <w:uiPriority w:val="0"/>
    <w:rPr>
      <w:rFonts w:hint="eastAsia" w:ascii="宋体" w:hAnsi="宋体" w:eastAsia="宋体" w:cs="宋体"/>
      <w:color w:val="000000"/>
      <w:sz w:val="22"/>
      <w:szCs w:val="22"/>
      <w:u w:val="none"/>
    </w:rPr>
  </w:style>
  <w:style w:type="character" w:customStyle="1" w:styleId="59">
    <w:name w:val="font41"/>
    <w:basedOn w:val="25"/>
    <w:qFormat/>
    <w:uiPriority w:val="0"/>
    <w:rPr>
      <w:rFonts w:hint="eastAsia" w:ascii="宋体" w:hAnsi="宋体" w:eastAsia="宋体" w:cs="宋体"/>
      <w:color w:val="FF0000"/>
      <w:sz w:val="22"/>
      <w:szCs w:val="22"/>
      <w:u w:val="none"/>
    </w:rPr>
  </w:style>
  <w:style w:type="paragraph" w:customStyle="1" w:styleId="60">
    <w:name w:val="Other|1"/>
    <w:basedOn w:val="1"/>
    <w:qFormat/>
    <w:uiPriority w:val="0"/>
    <w:pPr>
      <w:spacing w:after="220"/>
    </w:pPr>
    <w:rPr>
      <w:rFonts w:ascii="宋体" w:hAnsi="宋体" w:cs="宋体"/>
      <w:sz w:val="28"/>
      <w:szCs w:val="28"/>
      <w:lang w:val="zh-TW" w:eastAsia="zh-TW" w:bidi="zh-TW"/>
    </w:rPr>
  </w:style>
  <w:style w:type="character" w:customStyle="1" w:styleId="61">
    <w:name w:val="after6"/>
    <w:basedOn w:val="25"/>
    <w:qFormat/>
    <w:uiPriority w:val="0"/>
  </w:style>
  <w:style w:type="character" w:customStyle="1" w:styleId="62">
    <w:name w:val="cur-month4"/>
    <w:basedOn w:val="25"/>
    <w:qFormat/>
    <w:uiPriority w:val="0"/>
    <w:rPr>
      <w:b/>
      <w:bCs/>
    </w:rPr>
  </w:style>
  <w:style w:type="character" w:customStyle="1" w:styleId="63">
    <w:name w:val="flatpickr-weekday"/>
    <w:basedOn w:val="25"/>
    <w:qFormat/>
    <w:uiPriority w:val="0"/>
    <w:rPr>
      <w:b/>
      <w:bCs/>
      <w:sz w:val="21"/>
      <w:szCs w:val="21"/>
      <w:shd w:val="clear" w:fill="42A5F5"/>
    </w:rPr>
  </w:style>
  <w:style w:type="character" w:customStyle="1" w:styleId="64">
    <w:name w:val="hover4"/>
    <w:basedOn w:val="25"/>
    <w:qFormat/>
    <w:uiPriority w:val="0"/>
  </w:style>
  <w:style w:type="character" w:customStyle="1" w:styleId="65">
    <w:name w:val="exap"/>
    <w:basedOn w:val="25"/>
    <w:qFormat/>
    <w:uiPriority w:val="0"/>
    <w:rPr>
      <w:sz w:val="27"/>
      <w:szCs w:val="27"/>
    </w:rPr>
  </w:style>
  <w:style w:type="character" w:customStyle="1" w:styleId="66">
    <w:name w:val="a_p_2"/>
    <w:basedOn w:val="25"/>
    <w:qFormat/>
    <w:uiPriority w:val="0"/>
  </w:style>
  <w:style w:type="character" w:customStyle="1" w:styleId="67">
    <w:name w:val="a_p_21"/>
    <w:basedOn w:val="25"/>
    <w:qFormat/>
    <w:uiPriority w:val="0"/>
    <w:rPr>
      <w:sz w:val="27"/>
      <w:szCs w:val="27"/>
    </w:rPr>
  </w:style>
  <w:style w:type="character" w:customStyle="1" w:styleId="68">
    <w:name w:val="active3"/>
    <w:basedOn w:val="25"/>
    <w:qFormat/>
    <w:uiPriority w:val="0"/>
  </w:style>
  <w:style w:type="character" w:customStyle="1" w:styleId="69">
    <w:name w:val="arrowup2"/>
    <w:basedOn w:val="25"/>
    <w:qFormat/>
    <w:uiPriority w:val="0"/>
  </w:style>
  <w:style w:type="character" w:customStyle="1" w:styleId="70">
    <w:name w:val="arrowdown2"/>
    <w:basedOn w:val="25"/>
    <w:qFormat/>
    <w:uiPriority w:val="0"/>
  </w:style>
  <w:style w:type="character" w:customStyle="1" w:styleId="71">
    <w:name w:val="ul_li_a_1"/>
    <w:basedOn w:val="25"/>
    <w:qFormat/>
    <w:uiPriority w:val="0"/>
    <w:rPr>
      <w:b/>
      <w:bCs/>
      <w:color w:val="FFFFFF"/>
    </w:rPr>
  </w:style>
  <w:style w:type="character" w:customStyle="1" w:styleId="72">
    <w:name w:val="a_p_3"/>
    <w:basedOn w:val="25"/>
    <w:qFormat/>
    <w:uiPriority w:val="0"/>
    <w:rPr>
      <w:sz w:val="27"/>
      <w:szCs w:val="27"/>
    </w:rPr>
  </w:style>
  <w:style w:type="character" w:customStyle="1" w:styleId="73">
    <w:name w:val="a_p_1"/>
    <w:basedOn w:val="25"/>
    <w:qFormat/>
    <w:uiPriority w:val="0"/>
    <w:rPr>
      <w:sz w:val="27"/>
      <w:szCs w:val="27"/>
    </w:rPr>
  </w:style>
  <w:style w:type="character" w:customStyle="1" w:styleId="74">
    <w:name w:val="hover"/>
    <w:basedOn w:val="25"/>
    <w:qFormat/>
    <w:uiPriority w:val="0"/>
  </w:style>
  <w:style w:type="character" w:customStyle="1" w:styleId="75">
    <w:name w:val="active2"/>
    <w:basedOn w:val="25"/>
    <w:qFormat/>
    <w:uiPriority w:val="0"/>
  </w:style>
  <w:style w:type="character" w:customStyle="1" w:styleId="76">
    <w:name w:val="arrowdown"/>
    <w:basedOn w:val="25"/>
    <w:qFormat/>
    <w:uiPriority w:val="0"/>
  </w:style>
  <w:style w:type="character" w:customStyle="1" w:styleId="77">
    <w:name w:val="NormalCharacter"/>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13</Pages>
  <Words>634</Words>
  <Characters>730</Characters>
  <Lines>124</Lines>
  <Paragraphs>35</Paragraphs>
  <TotalTime>9</TotalTime>
  <ScaleCrop>false</ScaleCrop>
  <LinksUpToDate>false</LinksUpToDate>
  <CharactersWithSpaces>734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2026-06-22T08:50:00Z</dcterms:created>
  <dc:creator>pc</dc:creator>
  <cp:lastModifiedBy>栖迟</cp:lastModifiedBy>
  <cp:lastPrinted>2025-04-15T05:48:00Z</cp:lastPrinted>
  <dcterms:modified xsi:type="dcterms:W3CDTF">2026-11-06T07:26:09Z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24DACE1483D54A74B11436C92A287DBA_13</vt:lpwstr>
  </property>
  <property fmtid="{D5CDD505-2E9C-101B-9397-08002B2CF9AE}" pid="4" name="KSOTemplateDocerSaveRecord">
    <vt:lpwstr>eyJoZGlkIjoiOWUzMmZkNmQ3ZTRhMTIzMWVmZjFkZGNlZWQyYzdhMzAiLCJ1c2VySWQiOiI0NjUxMDQ1NzYifQ==</vt:lpwstr>
  </property>
</Properties>
</file>