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3BA06">
      <w:pPr>
        <w:pStyle w:val="21"/>
        <w:keepNext w:val="0"/>
        <w:keepLines w:val="0"/>
        <w:pageBreakBefore w:val="0"/>
        <w:numPr>
          <w:ilvl w:val="0"/>
          <w:numId w:val="0"/>
        </w:numPr>
        <w:kinsoku/>
        <w:wordWrap/>
        <w:overflowPunct/>
        <w:topLinePunct w:val="0"/>
        <w:autoSpaceDE/>
        <w:autoSpaceDN/>
        <w:bidi w:val="0"/>
        <w:spacing w:after="0" w:line="440" w:lineRule="exact"/>
        <w:ind w:left="0" w:leftChars="0"/>
        <w:jc w:val="center"/>
        <w:textAlignment w:val="auto"/>
        <w:rPr>
          <w:rFonts w:hint="eastAsia" w:ascii="仿宋" w:hAnsi="仿宋" w:eastAsia="仿宋" w:cs="仿宋"/>
          <w:b/>
          <w:bCs/>
          <w:color w:val="auto"/>
          <w:sz w:val="30"/>
          <w:szCs w:val="30"/>
          <w:highlight w:val="none"/>
        </w:rPr>
      </w:pPr>
      <w:bookmarkStart w:id="0" w:name="_GoBack"/>
      <w:bookmarkEnd w:id="0"/>
      <w:r>
        <w:rPr>
          <w:rFonts w:hint="eastAsia" w:ascii="仿宋" w:hAnsi="仿宋" w:eastAsia="仿宋" w:cs="仿宋"/>
          <w:b/>
          <w:bCs/>
          <w:color w:val="auto"/>
          <w:sz w:val="36"/>
          <w:szCs w:val="36"/>
          <w:highlight w:val="none"/>
          <w:lang w:val="en-US" w:eastAsia="zh-CN"/>
        </w:rPr>
        <w:t xml:space="preserve">    </w:t>
      </w:r>
      <w:r>
        <w:rPr>
          <w:rFonts w:hint="eastAsia" w:ascii="仿宋" w:hAnsi="仿宋" w:eastAsia="仿宋" w:cs="仿宋"/>
          <w:b/>
          <w:bCs/>
          <w:color w:val="auto"/>
          <w:sz w:val="36"/>
          <w:szCs w:val="36"/>
          <w:highlight w:val="none"/>
        </w:rPr>
        <w:t>第</w:t>
      </w:r>
      <w:r>
        <w:rPr>
          <w:rFonts w:hint="eastAsia" w:ascii="仿宋" w:hAnsi="仿宋" w:eastAsia="仿宋" w:cs="仿宋"/>
          <w:b/>
          <w:bCs/>
          <w:color w:val="auto"/>
          <w:sz w:val="36"/>
          <w:szCs w:val="36"/>
          <w:highlight w:val="none"/>
          <w:lang w:eastAsia="zh-CN"/>
        </w:rPr>
        <w:t>一</w:t>
      </w:r>
      <w:r>
        <w:rPr>
          <w:rFonts w:hint="eastAsia" w:ascii="仿宋" w:hAnsi="仿宋" w:eastAsia="仿宋" w:cs="仿宋"/>
          <w:b/>
          <w:bCs/>
          <w:color w:val="auto"/>
          <w:sz w:val="36"/>
          <w:szCs w:val="36"/>
          <w:highlight w:val="none"/>
        </w:rPr>
        <w:t>章</w:t>
      </w:r>
      <w:r>
        <w:rPr>
          <w:rFonts w:hint="eastAsia" w:ascii="宋体" w:hAnsi="宋体" w:cs="宋体"/>
          <w:bCs/>
          <w:color w:val="auto"/>
          <w:szCs w:val="44"/>
          <w:highlight w:val="none"/>
        </w:rPr>
        <w:t xml:space="preserve"> </w:t>
      </w:r>
      <w:r>
        <w:rPr>
          <w:rFonts w:hint="eastAsia" w:ascii="宋体" w:hAnsi="宋体" w:cs="宋体"/>
          <w:bCs/>
          <w:color w:val="auto"/>
          <w:szCs w:val="44"/>
          <w:highlight w:val="none"/>
          <w:lang w:val="en-US" w:eastAsia="zh-CN"/>
        </w:rPr>
        <w:t xml:space="preserve">    </w:t>
      </w:r>
      <w:r>
        <w:rPr>
          <w:rFonts w:hint="eastAsia" w:ascii="仿宋" w:hAnsi="仿宋" w:eastAsia="仿宋" w:cs="仿宋"/>
          <w:b/>
          <w:bCs/>
          <w:color w:val="auto"/>
          <w:sz w:val="36"/>
          <w:szCs w:val="36"/>
          <w:highlight w:val="none"/>
        </w:rPr>
        <w:t>采购需求</w:t>
      </w:r>
    </w:p>
    <w:p w14:paraId="1BE8405B">
      <w:pPr>
        <w:pStyle w:val="21"/>
        <w:keepNext w:val="0"/>
        <w:keepLines w:val="0"/>
        <w:pageBreakBefore w:val="0"/>
        <w:numPr>
          <w:ilvl w:val="0"/>
          <w:numId w:val="0"/>
        </w:numPr>
        <w:kinsoku/>
        <w:wordWrap/>
        <w:overflowPunct/>
        <w:topLinePunct w:val="0"/>
        <w:autoSpaceDE/>
        <w:autoSpaceDN/>
        <w:bidi w:val="0"/>
        <w:spacing w:after="0" w:line="440" w:lineRule="exact"/>
        <w:ind w:left="0" w:leftChars="0"/>
        <w:jc w:val="left"/>
        <w:textAlignment w:val="auto"/>
        <w:rPr>
          <w:rFonts w:hint="eastAsia" w:ascii="仿宋" w:hAnsi="仿宋" w:eastAsia="仿宋" w:cs="仿宋"/>
          <w:color w:val="auto"/>
          <w:sz w:val="30"/>
          <w:szCs w:val="30"/>
          <w:highlight w:val="none"/>
        </w:rPr>
      </w:pPr>
    </w:p>
    <w:p w14:paraId="6E435809">
      <w:pPr>
        <w:pStyle w:val="21"/>
        <w:keepNext w:val="0"/>
        <w:keepLines w:val="0"/>
        <w:pageBreakBefore w:val="0"/>
        <w:kinsoku/>
        <w:wordWrap/>
        <w:overflowPunct/>
        <w:topLinePunct w:val="0"/>
        <w:autoSpaceDE/>
        <w:autoSpaceDN/>
        <w:bidi w:val="0"/>
        <w:spacing w:after="0" w:line="440" w:lineRule="exact"/>
        <w:ind w:left="0" w:leftChars="0" w:firstLine="588" w:firstLineChars="196"/>
        <w:textAlignment w:val="auto"/>
        <w:rPr>
          <w:rStyle w:val="22"/>
          <w:rFonts w:hint="eastAsia" w:ascii="仿宋" w:hAnsi="仿宋" w:eastAsia="仿宋" w:cs="仿宋"/>
          <w:color w:val="auto"/>
          <w:kern w:val="0"/>
          <w:sz w:val="30"/>
          <w:szCs w:val="30"/>
          <w:highlight w:val="none"/>
          <w:u w:val="none"/>
          <w:lang w:val="en-US" w:eastAsia="zh-CN" w:bidi="ar-SA"/>
        </w:rPr>
      </w:pPr>
      <w:r>
        <w:rPr>
          <w:rStyle w:val="22"/>
          <w:rFonts w:hint="eastAsia" w:ascii="仿宋" w:hAnsi="仿宋" w:eastAsia="仿宋" w:cs="仿宋"/>
          <w:color w:val="auto"/>
          <w:kern w:val="0"/>
          <w:sz w:val="30"/>
          <w:szCs w:val="30"/>
          <w:highlight w:val="none"/>
          <w:u w:val="none"/>
          <w:lang w:val="en-US" w:eastAsia="zh-CN" w:bidi="ar-SA"/>
        </w:rPr>
        <w:t>1.以下《采购需求说明》及《采购需求一览表》所列内容为采购人所提采购需求，供应商应认真仔细研究，慎重选择相应的产品及技术参数、规格型号等参与采购活动。</w:t>
      </w:r>
    </w:p>
    <w:p w14:paraId="29670F4C">
      <w:pPr>
        <w:pStyle w:val="21"/>
        <w:keepNext w:val="0"/>
        <w:keepLines w:val="0"/>
        <w:pageBreakBefore w:val="0"/>
        <w:kinsoku/>
        <w:wordWrap/>
        <w:overflowPunct/>
        <w:topLinePunct w:val="0"/>
        <w:autoSpaceDE/>
        <w:autoSpaceDN/>
        <w:bidi w:val="0"/>
        <w:spacing w:after="0" w:line="440" w:lineRule="exact"/>
        <w:ind w:left="0" w:leftChars="0" w:firstLine="588" w:firstLineChars="196"/>
        <w:textAlignment w:val="auto"/>
        <w:rPr>
          <w:rStyle w:val="22"/>
          <w:rFonts w:hint="eastAsia" w:ascii="仿宋" w:hAnsi="仿宋" w:eastAsia="仿宋" w:cs="仿宋"/>
          <w:color w:val="auto"/>
          <w:kern w:val="0"/>
          <w:sz w:val="30"/>
          <w:szCs w:val="30"/>
          <w:highlight w:val="none"/>
          <w:lang w:val="en-US" w:eastAsia="zh-CN" w:bidi="ar-SA"/>
        </w:rPr>
      </w:pPr>
      <w:r>
        <w:rPr>
          <w:rStyle w:val="22"/>
          <w:rFonts w:hint="eastAsia" w:ascii="仿宋" w:hAnsi="仿宋" w:eastAsia="仿宋" w:cs="仿宋"/>
          <w:color w:val="auto"/>
          <w:kern w:val="0"/>
          <w:sz w:val="30"/>
          <w:szCs w:val="30"/>
          <w:highlight w:val="none"/>
          <w:u w:val="none"/>
          <w:lang w:val="en-US" w:eastAsia="zh-CN" w:bidi="ar-SA"/>
        </w:rPr>
        <w:t>2.章中标有“*”的参数为实质性参数，必须满足并以招标文件明确要求的材料为准,若招标文件未明确要求则以制造商公开发布的资料或检测机构出具的检测报告为准。若制造商公开发布的资料与检测机构出具的检测报告不一致，以检测机构出具的</w:t>
      </w:r>
      <w:r>
        <w:rPr>
          <w:rStyle w:val="22"/>
          <w:rFonts w:hint="eastAsia" w:ascii="仿宋" w:hAnsi="仿宋" w:eastAsia="仿宋" w:cs="仿宋"/>
          <w:color w:val="auto"/>
          <w:kern w:val="0"/>
          <w:sz w:val="30"/>
          <w:szCs w:val="30"/>
          <w:highlight w:val="none"/>
          <w:lang w:val="en-US" w:eastAsia="zh-CN" w:bidi="ar-SA"/>
        </w:rPr>
        <w:t>检测报告为准。</w:t>
      </w:r>
    </w:p>
    <w:p w14:paraId="722C0E34">
      <w:pPr>
        <w:keepNext w:val="0"/>
        <w:keepLines w:val="0"/>
        <w:pageBreakBefore w:val="0"/>
        <w:widowControl/>
        <w:kinsoku/>
        <w:wordWrap/>
        <w:overflowPunct/>
        <w:topLinePunct w:val="0"/>
        <w:autoSpaceDE/>
        <w:autoSpaceDN/>
        <w:bidi w:val="0"/>
        <w:adjustRightInd w:val="0"/>
        <w:snapToGrid w:val="0"/>
        <w:spacing w:after="0" w:line="440" w:lineRule="exact"/>
        <w:jc w:val="both"/>
        <w:textAlignment w:val="auto"/>
        <w:rPr>
          <w:rStyle w:val="22"/>
          <w:rFonts w:hint="eastAsia" w:ascii="仿宋" w:hAnsi="仿宋" w:eastAsia="仿宋" w:cs="仿宋"/>
          <w:b/>
          <w:bCs/>
          <w:color w:val="auto"/>
          <w:kern w:val="0"/>
          <w:sz w:val="30"/>
          <w:szCs w:val="30"/>
          <w:highlight w:val="none"/>
          <w:lang w:val="en-US" w:eastAsia="zh-CN" w:bidi="ar-SA"/>
        </w:rPr>
      </w:pPr>
    </w:p>
    <w:p w14:paraId="7993C1DB">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Style w:val="22"/>
          <w:rFonts w:hint="eastAsia" w:ascii="仿宋" w:hAnsi="仿宋" w:eastAsia="仿宋" w:cs="仿宋"/>
          <w:b/>
          <w:bCs/>
          <w:color w:val="auto"/>
          <w:kern w:val="0"/>
          <w:sz w:val="30"/>
          <w:szCs w:val="30"/>
          <w:highlight w:val="none"/>
          <w:lang w:val="en-US" w:eastAsia="zh-CN" w:bidi="ar-SA"/>
        </w:rPr>
      </w:pPr>
      <w:r>
        <w:rPr>
          <w:rStyle w:val="22"/>
          <w:rFonts w:hint="eastAsia" w:ascii="仿宋" w:hAnsi="仿宋" w:eastAsia="仿宋" w:cs="仿宋"/>
          <w:b/>
          <w:bCs/>
          <w:color w:val="auto"/>
          <w:kern w:val="0"/>
          <w:sz w:val="30"/>
          <w:szCs w:val="30"/>
          <w:highlight w:val="none"/>
          <w:lang w:val="en-US" w:eastAsia="zh-CN" w:bidi="ar-SA"/>
        </w:rPr>
        <w:t>采购需求说明</w:t>
      </w:r>
    </w:p>
    <w:p w14:paraId="3F6DBA89">
      <w:pPr>
        <w:pageBreakBefore w:val="0"/>
        <w:kinsoku/>
        <w:wordWrap w:val="0"/>
        <w:overflowPunct/>
        <w:topLinePunct/>
        <w:bidi w:val="0"/>
        <w:adjustRightInd w:val="0"/>
        <w:snapToGrid w:val="0"/>
        <w:spacing w:beforeLines="0" w:afterLines="0" w:line="240" w:lineRule="auto"/>
        <w:jc w:val="both"/>
        <w:outlineLvl w:val="2"/>
        <w:rPr>
          <w:rFonts w:hint="eastAsia" w:ascii="宋体" w:hAnsi="宋体" w:eastAsia="宋体" w:cs="宋体"/>
          <w:b/>
          <w:snapToGrid w:val="0"/>
          <w:kern w:val="0"/>
          <w:sz w:val="21"/>
          <w:szCs w:val="21"/>
        </w:rPr>
      </w:pPr>
    </w:p>
    <w:p w14:paraId="560412E6">
      <w:pPr>
        <w:pageBreakBefore w:val="0"/>
        <w:numPr>
          <w:ilvl w:val="0"/>
          <w:numId w:val="0"/>
        </w:numPr>
        <w:kinsoku/>
        <w:overflowPunct/>
        <w:autoSpaceDE w:val="0"/>
        <w:autoSpaceDN w:val="0"/>
        <w:bidi w:val="0"/>
        <w:adjustRightInd w:val="0"/>
        <w:snapToGrid w:val="0"/>
        <w:spacing w:beforeLines="0" w:afterLines="0" w:line="240" w:lineRule="auto"/>
        <w:ind w:firstLine="480" w:firstLineChars="200"/>
        <w:textAlignment w:val="baseline"/>
        <w:rPr>
          <w:rFonts w:hint="eastAsia" w:ascii="宋体" w:hAnsi="宋体" w:eastAsia="宋体" w:cs="宋体"/>
          <w:b w:val="0"/>
          <w:bCs/>
          <w:snapToGrid w:val="0"/>
          <w:color w:val="FF0000"/>
          <w:kern w:val="0"/>
          <w:sz w:val="24"/>
          <w:szCs w:val="24"/>
          <w:highlight w:val="none"/>
        </w:rPr>
      </w:pPr>
      <w:r>
        <w:rPr>
          <w:rFonts w:hint="eastAsia" w:ascii="宋体" w:hAnsi="宋体" w:eastAsia="宋体" w:cs="宋体"/>
          <w:b w:val="0"/>
          <w:bCs/>
          <w:snapToGrid w:val="0"/>
          <w:color w:val="FF0000"/>
          <w:kern w:val="0"/>
          <w:sz w:val="24"/>
          <w:szCs w:val="24"/>
          <w:highlight w:val="none"/>
          <w:lang w:val="en-US" w:eastAsia="zh-CN"/>
        </w:rPr>
        <w:t>*</w:t>
      </w:r>
      <w:r>
        <w:rPr>
          <w:rFonts w:hint="eastAsia" w:ascii="宋体" w:hAnsi="宋体" w:eastAsia="宋体" w:cs="宋体"/>
          <w:b w:val="0"/>
          <w:bCs/>
          <w:snapToGrid w:val="0"/>
          <w:color w:val="FF0000"/>
          <w:kern w:val="0"/>
          <w:sz w:val="24"/>
          <w:szCs w:val="24"/>
          <w:highlight w:val="none"/>
        </w:rPr>
        <w:t>1</w:t>
      </w:r>
      <w:r>
        <w:rPr>
          <w:rFonts w:hint="eastAsia" w:ascii="宋体" w:hAnsi="宋体" w:eastAsia="宋体" w:cs="宋体"/>
          <w:b w:val="0"/>
          <w:bCs/>
          <w:snapToGrid w:val="0"/>
          <w:color w:val="FF0000"/>
          <w:kern w:val="0"/>
          <w:sz w:val="24"/>
          <w:szCs w:val="24"/>
          <w:highlight w:val="none"/>
          <w:lang w:eastAsia="zh-CN"/>
        </w:rPr>
        <w:t>、提供</w:t>
      </w:r>
      <w:r>
        <w:rPr>
          <w:rFonts w:hint="eastAsia" w:ascii="宋体" w:hAnsi="宋体" w:eastAsia="宋体" w:cs="宋体"/>
          <w:b w:val="0"/>
          <w:bCs/>
          <w:snapToGrid w:val="0"/>
          <w:color w:val="FF0000"/>
          <w:kern w:val="0"/>
          <w:sz w:val="24"/>
          <w:szCs w:val="24"/>
          <w:highlight w:val="none"/>
        </w:rPr>
        <w:t>投标产品有效的医疗器械注册证。</w:t>
      </w:r>
    </w:p>
    <w:p w14:paraId="45797602">
      <w:pPr>
        <w:pageBreakBefore w:val="0"/>
        <w:widowControl/>
        <w:kinsoku/>
        <w:overflowPunct/>
        <w:bidi w:val="0"/>
        <w:adjustRightInd w:val="0"/>
        <w:snapToGrid w:val="0"/>
        <w:spacing w:beforeLines="0" w:afterLines="0" w:line="240" w:lineRule="auto"/>
        <w:ind w:firstLine="480" w:firstLineChars="200"/>
        <w:jc w:val="left"/>
        <w:rPr>
          <w:rFonts w:hint="eastAsia" w:ascii="宋体" w:hAnsi="宋体" w:eastAsia="宋体" w:cs="宋体"/>
          <w:b w:val="0"/>
          <w:bCs/>
          <w:snapToGrid w:val="0"/>
          <w:color w:val="FF0000"/>
          <w:kern w:val="0"/>
          <w:sz w:val="24"/>
          <w:szCs w:val="24"/>
          <w:highlight w:val="none"/>
        </w:rPr>
      </w:pPr>
      <w:r>
        <w:rPr>
          <w:rFonts w:hint="eastAsia" w:ascii="宋体" w:hAnsi="宋体" w:eastAsia="宋体" w:cs="宋体"/>
          <w:b w:val="0"/>
          <w:bCs/>
          <w:snapToGrid w:val="0"/>
          <w:color w:val="FF0000"/>
          <w:kern w:val="0"/>
          <w:sz w:val="24"/>
          <w:szCs w:val="24"/>
          <w:highlight w:val="none"/>
          <w:lang w:val="en-US" w:eastAsia="zh-CN"/>
        </w:rPr>
        <w:t>*2</w:t>
      </w:r>
      <w:r>
        <w:rPr>
          <w:rFonts w:hint="eastAsia" w:ascii="宋体" w:hAnsi="宋体" w:eastAsia="宋体" w:cs="宋体"/>
          <w:b w:val="0"/>
          <w:bCs/>
          <w:snapToGrid w:val="0"/>
          <w:color w:val="FF0000"/>
          <w:kern w:val="0"/>
          <w:sz w:val="24"/>
          <w:szCs w:val="24"/>
          <w:highlight w:val="none"/>
          <w:lang w:eastAsia="zh-CN"/>
        </w:rPr>
        <w:t>、</w:t>
      </w:r>
      <w:r>
        <w:rPr>
          <w:rFonts w:hint="eastAsia" w:ascii="宋体" w:hAnsi="宋体" w:eastAsia="宋体" w:cs="宋体"/>
          <w:b w:val="0"/>
          <w:bCs/>
          <w:snapToGrid w:val="0"/>
          <w:color w:val="FF0000"/>
          <w:kern w:val="0"/>
          <w:sz w:val="24"/>
          <w:szCs w:val="24"/>
          <w:highlight w:val="none"/>
        </w:rPr>
        <w:t>投标产品或其生产（或经营）纳入备案管理时，须在投标（响应）文件中提供备案证明材料或者承诺函。如投标（响应）文件中未提供备案证明材料，应提供承诺函，承诺在合同签订前具有相应的生产（或经营）、所投产品的备案证明材料。《免于经营备案的第二类医疗器械产品目录》中的产品可不提供备案证明材料或者承诺函”。</w:t>
      </w:r>
    </w:p>
    <w:p w14:paraId="4CAAC63C">
      <w:pPr>
        <w:pageBreakBefore w:val="0"/>
        <w:widowControl/>
        <w:kinsoku/>
        <w:overflowPunct/>
        <w:bidi w:val="0"/>
        <w:adjustRightInd w:val="0"/>
        <w:snapToGrid w:val="0"/>
        <w:spacing w:beforeLines="0" w:afterLines="0" w:line="240" w:lineRule="auto"/>
        <w:ind w:firstLine="480" w:firstLineChars="200"/>
        <w:jc w:val="left"/>
        <w:rPr>
          <w:rFonts w:hint="eastAsia" w:ascii="宋体" w:hAnsi="宋体" w:eastAsia="宋体" w:cs="宋体"/>
          <w:b w:val="0"/>
          <w:bCs/>
          <w:snapToGrid w:val="0"/>
          <w:color w:val="FF0000"/>
          <w:kern w:val="0"/>
          <w:sz w:val="24"/>
          <w:szCs w:val="24"/>
        </w:rPr>
      </w:pPr>
    </w:p>
    <w:p w14:paraId="375AF56F">
      <w:pPr>
        <w:pageBreakBefore w:val="0"/>
        <w:kinsoku/>
        <w:overflowPunct/>
        <w:bidi w:val="0"/>
        <w:adjustRightInd w:val="0"/>
        <w:snapToGrid w:val="0"/>
        <w:spacing w:beforeLines="0" w:afterLines="0" w:line="240" w:lineRule="auto"/>
        <w:jc w:val="center"/>
        <w:rPr>
          <w:rFonts w:hint="eastAsia" w:ascii="宋体" w:hAnsi="宋体" w:eastAsia="宋体" w:cs="宋体"/>
          <w:b/>
          <w:snapToGrid w:val="0"/>
          <w:kern w:val="0"/>
          <w:sz w:val="21"/>
          <w:szCs w:val="21"/>
        </w:rPr>
      </w:pPr>
      <w:r>
        <w:rPr>
          <w:rFonts w:hint="eastAsia" w:ascii="宋体" w:hAnsi="宋体" w:eastAsia="宋体" w:cs="宋体"/>
          <w:b/>
          <w:snapToGrid w:val="0"/>
          <w:kern w:val="0"/>
          <w:sz w:val="21"/>
          <w:szCs w:val="21"/>
        </w:rPr>
        <w:t>采购需求一览表</w:t>
      </w:r>
    </w:p>
    <w:p w14:paraId="19822265">
      <w:pPr>
        <w:pageBreakBefore w:val="0"/>
        <w:kinsoku/>
        <w:overflowPunct/>
        <w:bidi w:val="0"/>
        <w:adjustRightInd w:val="0"/>
        <w:snapToGrid w:val="0"/>
        <w:spacing w:beforeLines="0" w:afterLines="0" w:line="240" w:lineRule="auto"/>
        <w:jc w:val="center"/>
        <w:rPr>
          <w:rFonts w:hint="eastAsia" w:ascii="宋体" w:hAnsi="宋体" w:eastAsia="宋体" w:cs="宋体"/>
          <w:b/>
          <w:snapToGrid w:val="0"/>
          <w:kern w:val="0"/>
          <w:sz w:val="21"/>
          <w:szCs w:val="21"/>
        </w:rPr>
      </w:pPr>
    </w:p>
    <w:tbl>
      <w:tblPr>
        <w:tblStyle w:val="18"/>
        <w:tblW w:w="10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1608"/>
        <w:gridCol w:w="4427"/>
        <w:gridCol w:w="983"/>
        <w:gridCol w:w="967"/>
        <w:gridCol w:w="1156"/>
      </w:tblGrid>
      <w:tr w14:paraId="0D1E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jc w:val="center"/>
        </w:trPr>
        <w:tc>
          <w:tcPr>
            <w:tcW w:w="1017"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C4CF2C6">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r>
              <w:rPr>
                <w:rFonts w:hint="eastAsia" w:ascii="宋体" w:hAnsi="宋体" w:eastAsia="宋体" w:cs="宋体"/>
                <w:snapToGrid w:val="0"/>
                <w:kern w:val="0"/>
                <w:sz w:val="20"/>
                <w:szCs w:val="20"/>
              </w:rPr>
              <w:t>序号</w:t>
            </w:r>
          </w:p>
        </w:tc>
        <w:tc>
          <w:tcPr>
            <w:tcW w:w="1608"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D12019E">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r>
              <w:rPr>
                <w:rFonts w:hint="eastAsia" w:ascii="宋体" w:hAnsi="宋体" w:eastAsia="宋体" w:cs="宋体"/>
                <w:snapToGrid w:val="0"/>
                <w:kern w:val="0"/>
                <w:sz w:val="20"/>
                <w:szCs w:val="20"/>
              </w:rPr>
              <w:t>名称</w:t>
            </w:r>
          </w:p>
        </w:tc>
        <w:tc>
          <w:tcPr>
            <w:tcW w:w="4427"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38D00D7">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r>
              <w:rPr>
                <w:rFonts w:hint="eastAsia" w:ascii="宋体" w:hAnsi="宋体" w:eastAsia="宋体" w:cs="宋体"/>
                <w:snapToGrid w:val="0"/>
                <w:kern w:val="0"/>
                <w:sz w:val="20"/>
                <w:szCs w:val="20"/>
              </w:rPr>
              <w:t>技术参数和规格型号</w:t>
            </w:r>
          </w:p>
        </w:tc>
        <w:tc>
          <w:tcPr>
            <w:tcW w:w="983"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2CE31E8">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r>
              <w:rPr>
                <w:rFonts w:hint="eastAsia" w:ascii="宋体" w:hAnsi="宋体" w:eastAsia="宋体" w:cs="宋体"/>
                <w:snapToGrid w:val="0"/>
                <w:kern w:val="0"/>
                <w:sz w:val="20"/>
                <w:szCs w:val="20"/>
              </w:rPr>
              <w:t>数量</w:t>
            </w:r>
          </w:p>
        </w:tc>
        <w:tc>
          <w:tcPr>
            <w:tcW w:w="967"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B7B25D4">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r>
              <w:rPr>
                <w:rFonts w:hint="eastAsia" w:ascii="宋体" w:hAnsi="宋体" w:eastAsia="宋体" w:cs="宋体"/>
                <w:snapToGrid w:val="0"/>
                <w:kern w:val="0"/>
                <w:sz w:val="20"/>
                <w:szCs w:val="20"/>
              </w:rPr>
              <w:t>单位</w:t>
            </w:r>
          </w:p>
        </w:tc>
        <w:tc>
          <w:tcPr>
            <w:tcW w:w="1156"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2971F1C">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r>
              <w:rPr>
                <w:rFonts w:hint="eastAsia" w:ascii="宋体" w:hAnsi="宋体" w:eastAsia="宋体" w:cs="宋体"/>
                <w:snapToGrid w:val="0"/>
                <w:kern w:val="0"/>
                <w:sz w:val="20"/>
                <w:szCs w:val="20"/>
              </w:rPr>
              <w:t>备注</w:t>
            </w:r>
          </w:p>
        </w:tc>
      </w:tr>
      <w:tr w14:paraId="2DCE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017"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B1D18E0">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p>
        </w:tc>
        <w:tc>
          <w:tcPr>
            <w:tcW w:w="160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B324DAF">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p>
        </w:tc>
        <w:tc>
          <w:tcPr>
            <w:tcW w:w="4427"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11C1792">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p>
        </w:tc>
        <w:tc>
          <w:tcPr>
            <w:tcW w:w="983"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E15CE15">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p>
        </w:tc>
        <w:tc>
          <w:tcPr>
            <w:tcW w:w="967"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60A1641">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p>
        </w:tc>
        <w:tc>
          <w:tcPr>
            <w:tcW w:w="1156"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F4CDCBF">
            <w:pPr>
              <w:pageBreakBefore w:val="0"/>
              <w:kinsoku/>
              <w:wordWrap w:val="0"/>
              <w:overflowPunct/>
              <w:topLinePunct/>
              <w:bidi w:val="0"/>
              <w:adjustRightInd w:val="0"/>
              <w:snapToGrid w:val="0"/>
              <w:spacing w:beforeLines="0" w:afterLines="0" w:line="240" w:lineRule="auto"/>
              <w:jc w:val="center"/>
              <w:rPr>
                <w:rFonts w:hint="eastAsia" w:ascii="宋体" w:hAnsi="宋体" w:eastAsia="宋体" w:cs="宋体"/>
                <w:snapToGrid w:val="0"/>
                <w:kern w:val="0"/>
                <w:sz w:val="20"/>
                <w:szCs w:val="20"/>
              </w:rPr>
            </w:pPr>
          </w:p>
        </w:tc>
      </w:tr>
      <w:tr w14:paraId="68B7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10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057D0D">
            <w:pPr>
              <w:pageBreakBefore w:val="0"/>
              <w:widowControl/>
              <w:kinsoku/>
              <w:overflowPunct/>
              <w:bidi w:val="0"/>
              <w:adjustRightInd w:val="0"/>
              <w:snapToGrid w:val="0"/>
              <w:spacing w:beforeLines="0" w:afterLines="0" w:line="240" w:lineRule="auto"/>
              <w:jc w:val="center"/>
              <w:textAlignment w:val="center"/>
              <w:rPr>
                <w:rFonts w:hint="eastAsia" w:ascii="宋体" w:hAnsi="宋体" w:eastAsia="宋体" w:cs="宋体"/>
                <w:snapToGrid w:val="0"/>
                <w:kern w:val="0"/>
                <w:sz w:val="20"/>
                <w:szCs w:val="20"/>
                <w:lang w:eastAsia="zh-CN"/>
              </w:rPr>
            </w:pPr>
            <w:r>
              <w:rPr>
                <w:rFonts w:hint="eastAsia" w:ascii="宋体" w:hAnsi="宋体" w:eastAsia="宋体" w:cs="宋体"/>
                <w:snapToGrid w:val="0"/>
                <w:kern w:val="0"/>
                <w:sz w:val="20"/>
                <w:szCs w:val="20"/>
                <w:lang w:val="en-US" w:eastAsia="zh-CN"/>
              </w:rPr>
              <w:t>1</w:t>
            </w:r>
          </w:p>
        </w:tc>
        <w:tc>
          <w:tcPr>
            <w:tcW w:w="1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540057">
            <w:pPr>
              <w:pageBreakBefore w:val="0"/>
              <w:numPr>
                <w:ilvl w:val="0"/>
                <w:numId w:val="0"/>
              </w:numPr>
              <w:kinsoku/>
              <w:overflowPunct/>
              <w:bidi w:val="0"/>
              <w:adjustRightInd w:val="0"/>
              <w:snapToGrid w:val="0"/>
              <w:spacing w:beforeLines="0" w:afterLines="0" w:line="240" w:lineRule="auto"/>
              <w:jc w:val="center"/>
              <w:rPr>
                <w:rFonts w:hint="eastAsia" w:ascii="宋体" w:hAnsi="宋体" w:eastAsia="宋体" w:cs="宋体"/>
                <w:spacing w:val="-2"/>
                <w:sz w:val="20"/>
                <w:szCs w:val="20"/>
                <w:lang w:val="en-US" w:eastAsia="zh-CN"/>
              </w:rPr>
            </w:pPr>
            <w:r>
              <w:rPr>
                <w:rFonts w:hint="eastAsia" w:ascii="宋体" w:hAnsi="宋体" w:eastAsia="宋体" w:cs="宋体"/>
                <w:spacing w:val="-2"/>
                <w:sz w:val="20"/>
                <w:szCs w:val="20"/>
                <w:lang w:val="en-US" w:eastAsia="zh-CN"/>
              </w:rPr>
              <w:t>超乳注吸套</w:t>
            </w:r>
          </w:p>
        </w:tc>
        <w:tc>
          <w:tcPr>
            <w:tcW w:w="44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42DA58">
            <w:pPr>
              <w:pageBreakBefore w:val="0"/>
              <w:numPr>
                <w:ilvl w:val="0"/>
                <w:numId w:val="0"/>
              </w:numPr>
              <w:kinsoku/>
              <w:overflowPunct/>
              <w:bidi w:val="0"/>
              <w:adjustRightInd w:val="0"/>
              <w:snapToGrid w:val="0"/>
              <w:spacing w:beforeLines="0" w:afterLines="0" w:line="240" w:lineRule="auto"/>
              <w:jc w:val="left"/>
              <w:rPr>
                <w:rFonts w:hint="eastAsia" w:ascii="宋体" w:hAnsi="宋体" w:eastAsia="宋体" w:cs="宋体"/>
                <w:spacing w:val="-2"/>
                <w:sz w:val="20"/>
                <w:szCs w:val="20"/>
                <w:lang w:val="en-US" w:eastAsia="zh-CN"/>
              </w:rPr>
            </w:pPr>
            <w:r>
              <w:rPr>
                <w:rFonts w:hint="eastAsia" w:ascii="宋体" w:hAnsi="宋体" w:eastAsia="宋体" w:cs="宋体"/>
                <w:spacing w:val="-2"/>
                <w:sz w:val="20"/>
                <w:szCs w:val="20"/>
                <w:lang w:val="en-US" w:eastAsia="zh-CN"/>
              </w:rPr>
              <w:t>1、超乳注吸套硅胶材质，无菌包装，可高温高压消毒。</w:t>
            </w:r>
          </w:p>
          <w:p w14:paraId="21FBDAB4">
            <w:pPr>
              <w:pageBreakBefore w:val="0"/>
              <w:numPr>
                <w:ilvl w:val="0"/>
                <w:numId w:val="0"/>
              </w:numPr>
              <w:kinsoku/>
              <w:overflowPunct/>
              <w:bidi w:val="0"/>
              <w:adjustRightInd w:val="0"/>
              <w:snapToGrid w:val="0"/>
              <w:spacing w:beforeLines="0" w:afterLines="0" w:line="240" w:lineRule="auto"/>
              <w:jc w:val="left"/>
              <w:rPr>
                <w:rFonts w:hint="default" w:ascii="宋体" w:hAnsi="宋体" w:eastAsia="宋体" w:cs="宋体"/>
                <w:spacing w:val="-2"/>
                <w:sz w:val="20"/>
                <w:szCs w:val="20"/>
                <w:lang w:val="en-US" w:eastAsia="zh-CN"/>
              </w:rPr>
            </w:pPr>
            <w:r>
              <w:rPr>
                <w:rFonts w:hint="eastAsia" w:ascii="宋体" w:hAnsi="宋体" w:eastAsia="宋体" w:cs="宋体"/>
                <w:color w:val="FF0000"/>
                <w:spacing w:val="-2"/>
                <w:sz w:val="20"/>
                <w:szCs w:val="20"/>
                <w:lang w:val="en-US" w:eastAsia="zh-CN"/>
              </w:rPr>
              <w:t>*2、所投产品需与我院在用眼科超声乳化治疗仪（品牌：眼力健，型号：SCP680300） 兼容（提供承诺函，格式自拟）</w:t>
            </w:r>
            <w:r>
              <w:rPr>
                <w:rFonts w:hint="eastAsia" w:ascii="宋体" w:hAnsi="宋体" w:eastAsia="宋体" w:cs="宋体"/>
                <w:spacing w:val="-2"/>
                <w:sz w:val="20"/>
                <w:szCs w:val="20"/>
                <w:lang w:val="en-US" w:eastAsia="zh-CN"/>
              </w:rPr>
              <w:t xml:space="preserve"> </w:t>
            </w:r>
          </w:p>
        </w:tc>
        <w:tc>
          <w:tcPr>
            <w:tcW w:w="9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DD4750">
            <w:pPr>
              <w:pageBreakBefore w:val="0"/>
              <w:kinsoku/>
              <w:overflowPunct/>
              <w:bidi w:val="0"/>
              <w:adjustRightInd w:val="0"/>
              <w:snapToGrid w:val="0"/>
              <w:spacing w:beforeLines="0" w:afterLines="0" w:line="240" w:lineRule="auto"/>
              <w:jc w:val="center"/>
              <w:rPr>
                <w:rFonts w:hint="default" w:ascii="宋体" w:hAnsi="宋体" w:eastAsia="宋体" w:cs="宋体"/>
                <w:snapToGrid w:val="0"/>
                <w:kern w:val="0"/>
                <w:sz w:val="20"/>
                <w:szCs w:val="20"/>
                <w:lang w:val="en-US" w:eastAsia="zh-CN"/>
              </w:rPr>
            </w:pPr>
            <w:r>
              <w:rPr>
                <w:rFonts w:hint="eastAsia" w:ascii="宋体" w:hAnsi="宋体" w:eastAsia="宋体" w:cs="宋体"/>
                <w:snapToGrid w:val="0"/>
                <w:kern w:val="0"/>
                <w:sz w:val="20"/>
                <w:szCs w:val="20"/>
                <w:lang w:val="en-US" w:eastAsia="zh-CN"/>
              </w:rPr>
              <w:t>10</w:t>
            </w:r>
          </w:p>
        </w:tc>
        <w:tc>
          <w:tcPr>
            <w:tcW w:w="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AEE098">
            <w:pPr>
              <w:pageBreakBefore w:val="0"/>
              <w:kinsoku/>
              <w:overflowPunct/>
              <w:bidi w:val="0"/>
              <w:adjustRightInd w:val="0"/>
              <w:snapToGrid w:val="0"/>
              <w:spacing w:beforeLines="0" w:afterLines="0" w:line="240" w:lineRule="auto"/>
              <w:jc w:val="center"/>
              <w:rPr>
                <w:rFonts w:hint="eastAsia" w:ascii="宋体" w:hAnsi="宋体" w:eastAsia="宋体" w:cs="宋体"/>
                <w:snapToGrid w:val="0"/>
                <w:kern w:val="0"/>
                <w:sz w:val="20"/>
                <w:szCs w:val="20"/>
              </w:rPr>
            </w:pPr>
            <w:r>
              <w:rPr>
                <w:rFonts w:hint="eastAsia" w:ascii="宋体" w:hAnsi="宋体" w:eastAsia="宋体" w:cs="宋体"/>
                <w:snapToGrid w:val="0"/>
                <w:kern w:val="0"/>
                <w:sz w:val="20"/>
                <w:szCs w:val="20"/>
              </w:rPr>
              <w:t>套</w:t>
            </w:r>
          </w:p>
        </w:tc>
        <w:tc>
          <w:tcPr>
            <w:tcW w:w="11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6D2659">
            <w:pPr>
              <w:pageBreakBefore w:val="0"/>
              <w:kinsoku/>
              <w:overflowPunct/>
              <w:bidi w:val="0"/>
              <w:adjustRightInd w:val="0"/>
              <w:snapToGrid w:val="0"/>
              <w:spacing w:beforeLines="0" w:afterLines="0" w:line="240" w:lineRule="auto"/>
              <w:jc w:val="center"/>
              <w:rPr>
                <w:rFonts w:hint="eastAsia" w:ascii="宋体" w:hAnsi="宋体" w:eastAsia="宋体" w:cs="宋体"/>
                <w:snapToGrid w:val="0"/>
                <w:kern w:val="0"/>
                <w:sz w:val="20"/>
                <w:szCs w:val="20"/>
              </w:rPr>
            </w:pPr>
            <w:r>
              <w:rPr>
                <w:rFonts w:hint="eastAsia" w:ascii="宋体" w:hAnsi="宋体" w:eastAsia="宋体" w:cs="宋体"/>
                <w:color w:val="333333"/>
                <w:sz w:val="20"/>
                <w:szCs w:val="20"/>
                <w:shd w:val="clear" w:color="auto" w:fill="FFFFFF"/>
              </w:rPr>
              <w:t>第三类医疗器械</w:t>
            </w:r>
          </w:p>
        </w:tc>
      </w:tr>
      <w:tr w14:paraId="21B3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jc w:val="center"/>
        </w:trPr>
        <w:tc>
          <w:tcPr>
            <w:tcW w:w="10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E6DB2D">
            <w:pPr>
              <w:pageBreakBefore w:val="0"/>
              <w:widowControl/>
              <w:kinsoku/>
              <w:overflowPunct/>
              <w:bidi w:val="0"/>
              <w:adjustRightInd w:val="0"/>
              <w:snapToGrid w:val="0"/>
              <w:spacing w:beforeLines="0" w:afterLines="0" w:line="240" w:lineRule="auto"/>
              <w:jc w:val="center"/>
              <w:textAlignment w:val="center"/>
              <w:rPr>
                <w:rFonts w:hint="eastAsia" w:ascii="宋体" w:hAnsi="宋体" w:eastAsia="宋体" w:cs="宋体"/>
                <w:snapToGrid w:val="0"/>
                <w:kern w:val="0"/>
                <w:sz w:val="20"/>
                <w:szCs w:val="20"/>
                <w:lang w:eastAsia="zh-CN"/>
              </w:rPr>
            </w:pPr>
            <w:r>
              <w:rPr>
                <w:rFonts w:hint="eastAsia" w:ascii="宋体" w:hAnsi="宋体" w:eastAsia="宋体" w:cs="宋体"/>
                <w:snapToGrid w:val="0"/>
                <w:kern w:val="0"/>
                <w:sz w:val="20"/>
                <w:szCs w:val="20"/>
                <w:lang w:val="en-US" w:eastAsia="zh-CN"/>
              </w:rPr>
              <w:t>2</w:t>
            </w:r>
          </w:p>
        </w:tc>
        <w:tc>
          <w:tcPr>
            <w:tcW w:w="1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8979BF">
            <w:pPr>
              <w:pageBreakBefore w:val="0"/>
              <w:widowControl/>
              <w:kinsoku/>
              <w:overflowPunct/>
              <w:bidi w:val="0"/>
              <w:adjustRightInd w:val="0"/>
              <w:snapToGrid w:val="0"/>
              <w:spacing w:beforeLines="0" w:afterLines="0" w:line="240" w:lineRule="auto"/>
              <w:jc w:val="center"/>
              <w:textAlignment w:val="center"/>
              <w:rPr>
                <w:rFonts w:hint="eastAsia" w:ascii="宋体" w:hAnsi="宋体" w:eastAsia="宋体" w:cs="宋体"/>
                <w:snapToGrid w:val="0"/>
                <w:kern w:val="0"/>
                <w:sz w:val="20"/>
                <w:szCs w:val="20"/>
              </w:rPr>
            </w:pPr>
            <w:r>
              <w:rPr>
                <w:rFonts w:hint="eastAsia" w:ascii="宋体" w:hAnsi="宋体" w:eastAsia="宋体" w:cs="宋体"/>
                <w:snapToGrid w:val="0"/>
                <w:kern w:val="0"/>
                <w:sz w:val="20"/>
                <w:szCs w:val="20"/>
              </w:rPr>
              <w:t>超声乳化仪管道</w:t>
            </w:r>
          </w:p>
        </w:tc>
        <w:tc>
          <w:tcPr>
            <w:tcW w:w="44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AD3651">
            <w:pPr>
              <w:pageBreakBefore w:val="0"/>
              <w:numPr>
                <w:ilvl w:val="0"/>
                <w:numId w:val="0"/>
              </w:numPr>
              <w:kinsoku/>
              <w:overflowPunct/>
              <w:bidi w:val="0"/>
              <w:adjustRightInd w:val="0"/>
              <w:snapToGrid w:val="0"/>
              <w:spacing w:beforeLines="0" w:afterLines="0" w:line="240" w:lineRule="auto"/>
              <w:jc w:val="left"/>
              <w:rPr>
                <w:rFonts w:hint="eastAsia" w:ascii="宋体" w:hAnsi="宋体" w:eastAsia="宋体" w:cs="宋体"/>
                <w:spacing w:val="-2"/>
                <w:sz w:val="20"/>
                <w:szCs w:val="20"/>
              </w:rPr>
            </w:pPr>
            <w:r>
              <w:rPr>
                <w:rFonts w:hint="eastAsia" w:ascii="宋体" w:hAnsi="宋体" w:eastAsia="宋体" w:cs="宋体"/>
                <w:spacing w:val="-2"/>
                <w:sz w:val="20"/>
                <w:szCs w:val="20"/>
                <w:lang w:val="en-US" w:eastAsia="zh-CN"/>
              </w:rPr>
              <w:t>1、</w:t>
            </w:r>
            <w:r>
              <w:rPr>
                <w:rFonts w:hint="eastAsia" w:ascii="宋体" w:hAnsi="宋体" w:eastAsia="宋体" w:cs="宋体"/>
                <w:spacing w:val="-2"/>
                <w:sz w:val="20"/>
                <w:szCs w:val="20"/>
              </w:rPr>
              <w:t>超声乳化仪管道硅胶材质，可高温高压消毒。</w:t>
            </w:r>
          </w:p>
          <w:p w14:paraId="0925C671">
            <w:pPr>
              <w:pageBreakBefore w:val="0"/>
              <w:numPr>
                <w:ilvl w:val="0"/>
                <w:numId w:val="0"/>
              </w:numPr>
              <w:kinsoku/>
              <w:overflowPunct/>
              <w:bidi w:val="0"/>
              <w:adjustRightInd w:val="0"/>
              <w:snapToGrid w:val="0"/>
              <w:spacing w:beforeLines="0" w:afterLines="0" w:line="240" w:lineRule="auto"/>
              <w:jc w:val="left"/>
              <w:rPr>
                <w:rFonts w:hint="eastAsia" w:ascii="宋体" w:hAnsi="宋体" w:eastAsia="宋体" w:cs="宋体"/>
                <w:spacing w:val="-2"/>
                <w:sz w:val="20"/>
                <w:szCs w:val="20"/>
              </w:rPr>
            </w:pPr>
            <w:r>
              <w:rPr>
                <w:rFonts w:hint="eastAsia" w:ascii="宋体" w:hAnsi="宋体" w:eastAsia="宋体" w:cs="宋体"/>
                <w:color w:val="FF0000"/>
                <w:spacing w:val="-2"/>
                <w:sz w:val="20"/>
                <w:szCs w:val="20"/>
                <w:lang w:val="en-US" w:eastAsia="zh-CN"/>
              </w:rPr>
              <w:t>*2、所投产品需与我院在用眼科超声乳化治疗仪（品牌：眼力健，型号：SCP680300） 兼容（提供承诺函，格式自拟）</w:t>
            </w:r>
          </w:p>
        </w:tc>
        <w:tc>
          <w:tcPr>
            <w:tcW w:w="9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C52D71">
            <w:pPr>
              <w:pageBreakBefore w:val="0"/>
              <w:kinsoku/>
              <w:overflowPunct/>
              <w:bidi w:val="0"/>
              <w:adjustRightInd w:val="0"/>
              <w:snapToGrid w:val="0"/>
              <w:spacing w:beforeLines="0" w:afterLines="0"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10</w:t>
            </w:r>
          </w:p>
        </w:tc>
        <w:tc>
          <w:tcPr>
            <w:tcW w:w="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BD0471">
            <w:pPr>
              <w:pageBreakBefore w:val="0"/>
              <w:kinsoku/>
              <w:overflowPunct/>
              <w:bidi w:val="0"/>
              <w:adjustRightInd w:val="0"/>
              <w:snapToGrid w:val="0"/>
              <w:spacing w:beforeLines="0" w:afterLines="0" w:line="240" w:lineRule="auto"/>
              <w:jc w:val="center"/>
              <w:rPr>
                <w:rFonts w:hint="eastAsia" w:ascii="宋体" w:hAnsi="宋体" w:eastAsia="宋体" w:cs="宋体"/>
                <w:snapToGrid w:val="0"/>
                <w:kern w:val="0"/>
                <w:sz w:val="20"/>
                <w:szCs w:val="20"/>
              </w:rPr>
            </w:pPr>
            <w:r>
              <w:rPr>
                <w:rFonts w:hint="eastAsia" w:ascii="宋体" w:hAnsi="宋体" w:eastAsia="宋体" w:cs="宋体"/>
                <w:snapToGrid w:val="0"/>
                <w:kern w:val="0"/>
                <w:sz w:val="20"/>
                <w:szCs w:val="20"/>
              </w:rPr>
              <w:t>套</w:t>
            </w:r>
          </w:p>
        </w:tc>
        <w:tc>
          <w:tcPr>
            <w:tcW w:w="11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EC0174">
            <w:pPr>
              <w:pageBreakBefore w:val="0"/>
              <w:kinsoku/>
              <w:overflowPunct/>
              <w:bidi w:val="0"/>
              <w:adjustRightInd w:val="0"/>
              <w:snapToGrid w:val="0"/>
              <w:spacing w:beforeLines="0" w:afterLines="0" w:line="240" w:lineRule="auto"/>
              <w:jc w:val="center"/>
              <w:rPr>
                <w:rFonts w:hint="eastAsia" w:ascii="宋体" w:hAnsi="宋体" w:eastAsia="宋体" w:cs="宋体"/>
                <w:snapToGrid w:val="0"/>
                <w:kern w:val="0"/>
                <w:sz w:val="20"/>
                <w:szCs w:val="20"/>
              </w:rPr>
            </w:pPr>
            <w:r>
              <w:rPr>
                <w:rFonts w:hint="eastAsia" w:ascii="宋体" w:hAnsi="宋体" w:eastAsia="宋体" w:cs="宋体"/>
                <w:color w:val="333333"/>
                <w:sz w:val="20"/>
                <w:szCs w:val="20"/>
                <w:shd w:val="clear" w:color="auto" w:fill="FFFFFF"/>
              </w:rPr>
              <w:t>第三类医疗器械</w:t>
            </w:r>
          </w:p>
        </w:tc>
      </w:tr>
    </w:tbl>
    <w:p w14:paraId="4E5A29A6">
      <w:pPr>
        <w:pageBreakBefore w:val="0"/>
        <w:kinsoku/>
        <w:wordWrap w:val="0"/>
        <w:overflowPunct/>
        <w:topLinePunct/>
        <w:bidi w:val="0"/>
        <w:adjustRightInd w:val="0"/>
        <w:snapToGrid w:val="0"/>
        <w:spacing w:beforeLines="0" w:afterLines="0" w:line="240" w:lineRule="auto"/>
        <w:jc w:val="both"/>
        <w:outlineLvl w:val="2"/>
        <w:rPr>
          <w:rFonts w:hint="eastAsia" w:ascii="宋体" w:hAnsi="宋体" w:eastAsia="宋体" w:cs="宋体"/>
          <w:b/>
          <w:snapToGrid w:val="0"/>
          <w:kern w:val="0"/>
          <w:sz w:val="21"/>
          <w:szCs w:val="21"/>
        </w:rPr>
      </w:pPr>
    </w:p>
    <w:p w14:paraId="7E5D4D57">
      <w:pPr>
        <w:jc w:val="both"/>
        <w:rPr>
          <w:rFonts w:hint="eastAsia" w:ascii="仿宋" w:hAnsi="仿宋" w:eastAsia="仿宋" w:cs="仿宋"/>
          <w:b/>
          <w:bCs/>
          <w:color w:val="auto"/>
          <w:kern w:val="2"/>
          <w:sz w:val="36"/>
          <w:szCs w:val="36"/>
          <w:highlight w:val="none"/>
          <w:lang w:val="en-US" w:eastAsia="zh-CN" w:bidi="ar-SA"/>
        </w:rPr>
      </w:pPr>
    </w:p>
    <w:p w14:paraId="46B2DF14">
      <w:pPr>
        <w:ind w:firstLine="630" w:firstLineChars="300"/>
        <w:rPr>
          <w:rFonts w:hint="default" w:ascii="宋体" w:hAnsi="宋体"/>
          <w:lang w:val="en-US"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55B030"/>
    <w:multiLevelType w:val="singleLevel"/>
    <w:tmpl w:val="EA55B030"/>
    <w:lvl w:ilvl="0" w:tentative="0">
      <w:start w:val="1"/>
      <w:numFmt w:val="decimal"/>
      <w:pStyle w:val="5"/>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zMmZkNmQ3ZTRhMTIzMWVmZjFkZGNlZWQyYzdhMzAifQ=="/>
  </w:docVars>
  <w:rsids>
    <w:rsidRoot w:val="00000000"/>
    <w:rsid w:val="00270BE1"/>
    <w:rsid w:val="00B87A8B"/>
    <w:rsid w:val="00CF32D6"/>
    <w:rsid w:val="00D57481"/>
    <w:rsid w:val="00F46D15"/>
    <w:rsid w:val="019B7B54"/>
    <w:rsid w:val="021737AF"/>
    <w:rsid w:val="02297953"/>
    <w:rsid w:val="023E5A3C"/>
    <w:rsid w:val="024077A0"/>
    <w:rsid w:val="02714395"/>
    <w:rsid w:val="032A4C70"/>
    <w:rsid w:val="043B5F8B"/>
    <w:rsid w:val="04A60B94"/>
    <w:rsid w:val="056B037F"/>
    <w:rsid w:val="058B578E"/>
    <w:rsid w:val="05A153CD"/>
    <w:rsid w:val="05DB3ECA"/>
    <w:rsid w:val="05EE467B"/>
    <w:rsid w:val="061E65E2"/>
    <w:rsid w:val="07FD01ED"/>
    <w:rsid w:val="0820113B"/>
    <w:rsid w:val="08E10D90"/>
    <w:rsid w:val="091910B3"/>
    <w:rsid w:val="09F30BB6"/>
    <w:rsid w:val="0A8455AD"/>
    <w:rsid w:val="0AE53B72"/>
    <w:rsid w:val="0C4434B5"/>
    <w:rsid w:val="0C777D47"/>
    <w:rsid w:val="0C874DB9"/>
    <w:rsid w:val="0CF05EE4"/>
    <w:rsid w:val="0D1E5C77"/>
    <w:rsid w:val="0D270472"/>
    <w:rsid w:val="0E770F85"/>
    <w:rsid w:val="0F083630"/>
    <w:rsid w:val="104D1045"/>
    <w:rsid w:val="107E484D"/>
    <w:rsid w:val="108C51BC"/>
    <w:rsid w:val="10A0217C"/>
    <w:rsid w:val="10E46B82"/>
    <w:rsid w:val="122356AC"/>
    <w:rsid w:val="1380268A"/>
    <w:rsid w:val="13F60B9E"/>
    <w:rsid w:val="14212386"/>
    <w:rsid w:val="15353677"/>
    <w:rsid w:val="1537141C"/>
    <w:rsid w:val="15A04F4A"/>
    <w:rsid w:val="15AA2C74"/>
    <w:rsid w:val="16CD0888"/>
    <w:rsid w:val="16E66C66"/>
    <w:rsid w:val="1706734A"/>
    <w:rsid w:val="185B17C1"/>
    <w:rsid w:val="1894607D"/>
    <w:rsid w:val="18F36A72"/>
    <w:rsid w:val="193F3921"/>
    <w:rsid w:val="19E519A6"/>
    <w:rsid w:val="1A5E6FAC"/>
    <w:rsid w:val="1A6359F9"/>
    <w:rsid w:val="1AF220BF"/>
    <w:rsid w:val="1B8401D9"/>
    <w:rsid w:val="1CAE204C"/>
    <w:rsid w:val="1D1D0F4A"/>
    <w:rsid w:val="1D6F3E9B"/>
    <w:rsid w:val="1EE2697A"/>
    <w:rsid w:val="1F486752"/>
    <w:rsid w:val="1F686DF4"/>
    <w:rsid w:val="1FD5549A"/>
    <w:rsid w:val="1FF42436"/>
    <w:rsid w:val="208A0F86"/>
    <w:rsid w:val="20EF2BFD"/>
    <w:rsid w:val="210476F2"/>
    <w:rsid w:val="210F1F02"/>
    <w:rsid w:val="2177331E"/>
    <w:rsid w:val="217B082B"/>
    <w:rsid w:val="21B97EAE"/>
    <w:rsid w:val="21C54824"/>
    <w:rsid w:val="22F664C5"/>
    <w:rsid w:val="232C0139"/>
    <w:rsid w:val="23363929"/>
    <w:rsid w:val="23B31A99"/>
    <w:rsid w:val="23F92711"/>
    <w:rsid w:val="245F009A"/>
    <w:rsid w:val="24C7636B"/>
    <w:rsid w:val="25843276"/>
    <w:rsid w:val="25E82D16"/>
    <w:rsid w:val="2640492E"/>
    <w:rsid w:val="26FC6D0E"/>
    <w:rsid w:val="27C36CCC"/>
    <w:rsid w:val="2858552C"/>
    <w:rsid w:val="285E5B65"/>
    <w:rsid w:val="28944AE8"/>
    <w:rsid w:val="28ED7C35"/>
    <w:rsid w:val="29312099"/>
    <w:rsid w:val="297D3783"/>
    <w:rsid w:val="29AE18A7"/>
    <w:rsid w:val="2AAA4765"/>
    <w:rsid w:val="2AAB542D"/>
    <w:rsid w:val="2ABE1D62"/>
    <w:rsid w:val="2ACD1DA6"/>
    <w:rsid w:val="2AEA2DB3"/>
    <w:rsid w:val="2AF37DCD"/>
    <w:rsid w:val="2C0F23A5"/>
    <w:rsid w:val="2C1D4AC2"/>
    <w:rsid w:val="2CC60D57"/>
    <w:rsid w:val="2D8E3003"/>
    <w:rsid w:val="2DBB6ED6"/>
    <w:rsid w:val="2EA1475D"/>
    <w:rsid w:val="2F837332"/>
    <w:rsid w:val="2FB4339F"/>
    <w:rsid w:val="2FDF286D"/>
    <w:rsid w:val="30B11C7D"/>
    <w:rsid w:val="31760324"/>
    <w:rsid w:val="317C129B"/>
    <w:rsid w:val="32414517"/>
    <w:rsid w:val="328A09D8"/>
    <w:rsid w:val="32B83AF7"/>
    <w:rsid w:val="3346176F"/>
    <w:rsid w:val="337B1023"/>
    <w:rsid w:val="34FB556B"/>
    <w:rsid w:val="34FD18B2"/>
    <w:rsid w:val="35203826"/>
    <w:rsid w:val="3547334F"/>
    <w:rsid w:val="35944047"/>
    <w:rsid w:val="35A61FCC"/>
    <w:rsid w:val="35DD1895"/>
    <w:rsid w:val="3605510D"/>
    <w:rsid w:val="360915D4"/>
    <w:rsid w:val="361A1FFA"/>
    <w:rsid w:val="368D0D27"/>
    <w:rsid w:val="369260AD"/>
    <w:rsid w:val="36C0257F"/>
    <w:rsid w:val="36CE249F"/>
    <w:rsid w:val="36F67B06"/>
    <w:rsid w:val="37116FF4"/>
    <w:rsid w:val="377C5093"/>
    <w:rsid w:val="384A30E3"/>
    <w:rsid w:val="38AC78FA"/>
    <w:rsid w:val="396E4538"/>
    <w:rsid w:val="39DB2E7A"/>
    <w:rsid w:val="3A3A06DE"/>
    <w:rsid w:val="3AD1535B"/>
    <w:rsid w:val="3B4820D3"/>
    <w:rsid w:val="3B6E0E6E"/>
    <w:rsid w:val="3C117139"/>
    <w:rsid w:val="3C36168F"/>
    <w:rsid w:val="3D7756C1"/>
    <w:rsid w:val="3DA74B34"/>
    <w:rsid w:val="3DF132D5"/>
    <w:rsid w:val="3E1F291C"/>
    <w:rsid w:val="3E5A544F"/>
    <w:rsid w:val="3E864C54"/>
    <w:rsid w:val="3E88226F"/>
    <w:rsid w:val="3EAF3F43"/>
    <w:rsid w:val="3EBA6941"/>
    <w:rsid w:val="3F910FCA"/>
    <w:rsid w:val="3FD12C67"/>
    <w:rsid w:val="40BC4452"/>
    <w:rsid w:val="422955F3"/>
    <w:rsid w:val="42674671"/>
    <w:rsid w:val="432F53AF"/>
    <w:rsid w:val="433230F1"/>
    <w:rsid w:val="434476BB"/>
    <w:rsid w:val="43643AC5"/>
    <w:rsid w:val="447708F7"/>
    <w:rsid w:val="44B9622C"/>
    <w:rsid w:val="44BC7116"/>
    <w:rsid w:val="44EF286F"/>
    <w:rsid w:val="450E1307"/>
    <w:rsid w:val="45505625"/>
    <w:rsid w:val="455A248C"/>
    <w:rsid w:val="45CC15DB"/>
    <w:rsid w:val="4665733A"/>
    <w:rsid w:val="46784C13"/>
    <w:rsid w:val="46F56910"/>
    <w:rsid w:val="471C5C4A"/>
    <w:rsid w:val="47705F96"/>
    <w:rsid w:val="48781C15"/>
    <w:rsid w:val="48D468CA"/>
    <w:rsid w:val="48F0738F"/>
    <w:rsid w:val="49695393"/>
    <w:rsid w:val="49740BF3"/>
    <w:rsid w:val="497E0E3E"/>
    <w:rsid w:val="49C26944"/>
    <w:rsid w:val="4A990576"/>
    <w:rsid w:val="4AE01685"/>
    <w:rsid w:val="4BD33C9A"/>
    <w:rsid w:val="4BE16113"/>
    <w:rsid w:val="4BF70A34"/>
    <w:rsid w:val="4C131869"/>
    <w:rsid w:val="4C7B4035"/>
    <w:rsid w:val="4CAE2BF3"/>
    <w:rsid w:val="4DE13558"/>
    <w:rsid w:val="4DE84AD8"/>
    <w:rsid w:val="4E5609B8"/>
    <w:rsid w:val="4EA12ED9"/>
    <w:rsid w:val="4ED428A0"/>
    <w:rsid w:val="501C403A"/>
    <w:rsid w:val="50317205"/>
    <w:rsid w:val="511300BE"/>
    <w:rsid w:val="51B43517"/>
    <w:rsid w:val="51DE1874"/>
    <w:rsid w:val="5215763C"/>
    <w:rsid w:val="52B9350D"/>
    <w:rsid w:val="52CA67DB"/>
    <w:rsid w:val="532D263A"/>
    <w:rsid w:val="53591FD4"/>
    <w:rsid w:val="53D57B5D"/>
    <w:rsid w:val="544B4013"/>
    <w:rsid w:val="54907C78"/>
    <w:rsid w:val="551F5E95"/>
    <w:rsid w:val="56097CE2"/>
    <w:rsid w:val="560E4BAC"/>
    <w:rsid w:val="562C26DC"/>
    <w:rsid w:val="562C4803"/>
    <w:rsid w:val="56682C5A"/>
    <w:rsid w:val="5734664B"/>
    <w:rsid w:val="574B4BE8"/>
    <w:rsid w:val="57BC2B32"/>
    <w:rsid w:val="57EE718F"/>
    <w:rsid w:val="57F40D0C"/>
    <w:rsid w:val="593908DE"/>
    <w:rsid w:val="59BC2ECA"/>
    <w:rsid w:val="59C86C9A"/>
    <w:rsid w:val="59F36CD2"/>
    <w:rsid w:val="5A383AD1"/>
    <w:rsid w:val="5A70160F"/>
    <w:rsid w:val="5A8913F1"/>
    <w:rsid w:val="5ABE5FA1"/>
    <w:rsid w:val="5B0867BA"/>
    <w:rsid w:val="5B0D3DD0"/>
    <w:rsid w:val="5B4618B7"/>
    <w:rsid w:val="5B4B4292"/>
    <w:rsid w:val="5B5545BA"/>
    <w:rsid w:val="5BC56459"/>
    <w:rsid w:val="5C587FA0"/>
    <w:rsid w:val="5C7502A4"/>
    <w:rsid w:val="5C7B2FBB"/>
    <w:rsid w:val="5C981DBF"/>
    <w:rsid w:val="5D0531AA"/>
    <w:rsid w:val="5D1C479E"/>
    <w:rsid w:val="5D610403"/>
    <w:rsid w:val="5DED4FB0"/>
    <w:rsid w:val="5E1E520C"/>
    <w:rsid w:val="5E9F11E3"/>
    <w:rsid w:val="5F592A0A"/>
    <w:rsid w:val="5F903222"/>
    <w:rsid w:val="5F993E84"/>
    <w:rsid w:val="5FCD3657"/>
    <w:rsid w:val="60275727"/>
    <w:rsid w:val="606063AF"/>
    <w:rsid w:val="60700B70"/>
    <w:rsid w:val="60D1764E"/>
    <w:rsid w:val="60FF56CA"/>
    <w:rsid w:val="61230AFF"/>
    <w:rsid w:val="6129748A"/>
    <w:rsid w:val="61300A82"/>
    <w:rsid w:val="61D45648"/>
    <w:rsid w:val="61E316DF"/>
    <w:rsid w:val="61F01AD0"/>
    <w:rsid w:val="62416861"/>
    <w:rsid w:val="62657D5B"/>
    <w:rsid w:val="62A32D26"/>
    <w:rsid w:val="63CC3841"/>
    <w:rsid w:val="64095351"/>
    <w:rsid w:val="645C47E6"/>
    <w:rsid w:val="673C6A18"/>
    <w:rsid w:val="67F626C3"/>
    <w:rsid w:val="68C37370"/>
    <w:rsid w:val="6916109F"/>
    <w:rsid w:val="697B71D9"/>
    <w:rsid w:val="69D76C20"/>
    <w:rsid w:val="69F543AD"/>
    <w:rsid w:val="6A615EE7"/>
    <w:rsid w:val="6A7E4ED8"/>
    <w:rsid w:val="6A8921BB"/>
    <w:rsid w:val="6ADF6E0B"/>
    <w:rsid w:val="6B032AFA"/>
    <w:rsid w:val="6BD36A4D"/>
    <w:rsid w:val="6C683437"/>
    <w:rsid w:val="6CBB2BA2"/>
    <w:rsid w:val="6D300883"/>
    <w:rsid w:val="6D882D18"/>
    <w:rsid w:val="6E9361A2"/>
    <w:rsid w:val="70071ED8"/>
    <w:rsid w:val="716D0ECE"/>
    <w:rsid w:val="718F4B39"/>
    <w:rsid w:val="723E6B38"/>
    <w:rsid w:val="72441794"/>
    <w:rsid w:val="72DD1E82"/>
    <w:rsid w:val="72E15391"/>
    <w:rsid w:val="72E94CCB"/>
    <w:rsid w:val="730B4C41"/>
    <w:rsid w:val="731F693F"/>
    <w:rsid w:val="732E25B8"/>
    <w:rsid w:val="73515E96"/>
    <w:rsid w:val="740A5BD4"/>
    <w:rsid w:val="749B3DA3"/>
    <w:rsid w:val="751F342F"/>
    <w:rsid w:val="75567B79"/>
    <w:rsid w:val="75A55B4D"/>
    <w:rsid w:val="760B4F58"/>
    <w:rsid w:val="76397108"/>
    <w:rsid w:val="763C2661"/>
    <w:rsid w:val="763F191E"/>
    <w:rsid w:val="76AA651F"/>
    <w:rsid w:val="77200EFC"/>
    <w:rsid w:val="77611544"/>
    <w:rsid w:val="7791148D"/>
    <w:rsid w:val="789D7D97"/>
    <w:rsid w:val="78CE23D6"/>
    <w:rsid w:val="79112C41"/>
    <w:rsid w:val="794C5FB4"/>
    <w:rsid w:val="79FB24E7"/>
    <w:rsid w:val="7A5451A9"/>
    <w:rsid w:val="7A985D4A"/>
    <w:rsid w:val="7AD95625"/>
    <w:rsid w:val="7B2965AD"/>
    <w:rsid w:val="7C773348"/>
    <w:rsid w:val="7CDE5189"/>
    <w:rsid w:val="7CFD384D"/>
    <w:rsid w:val="7D126BCC"/>
    <w:rsid w:val="7DA1348C"/>
    <w:rsid w:val="7DAA55CB"/>
    <w:rsid w:val="7DC319CC"/>
    <w:rsid w:val="7DD0610E"/>
    <w:rsid w:val="7DFE74F4"/>
    <w:rsid w:val="7E074257"/>
    <w:rsid w:val="7E187688"/>
    <w:rsid w:val="7EE75DFC"/>
    <w:rsid w:val="7F89761A"/>
    <w:rsid w:val="7FA36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after="260" w:afterLines="0" w:line="416" w:lineRule="auto"/>
      <w:ind w:firstLine="628"/>
      <w:jc w:val="center"/>
      <w:outlineLvl w:val="1"/>
    </w:pPr>
    <w:rPr>
      <w:rFonts w:hint="default" w:ascii="Arial" w:hAnsi="Arial" w:eastAsia="黑体" w:cs="Times New Roman"/>
      <w:b/>
      <w:kern w:val="0"/>
      <w:sz w:val="32"/>
      <w:szCs w:val="32"/>
    </w:rPr>
  </w:style>
  <w:style w:type="paragraph" w:styleId="4">
    <w:name w:val="heading 3"/>
    <w:basedOn w:val="1"/>
    <w:next w:val="1"/>
    <w:autoRedefine/>
    <w:qFormat/>
    <w:uiPriority w:val="0"/>
    <w:pPr>
      <w:keepNext/>
      <w:keepLines/>
      <w:widowControl w:val="0"/>
      <w:adjustRightInd/>
      <w:snapToGrid/>
      <w:spacing w:before="260" w:after="260" w:line="413" w:lineRule="auto"/>
      <w:jc w:val="both"/>
      <w:outlineLvl w:val="2"/>
    </w:pPr>
    <w:rPr>
      <w:rFonts w:ascii="Times New Roman" w:hAnsi="Times New Roman" w:eastAsia="宋体" w:cs="Times New Roman"/>
      <w:b/>
      <w:kern w:val="2"/>
      <w:sz w:val="32"/>
      <w:szCs w:val="20"/>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5">
    <w:name w:val="List Number"/>
    <w:basedOn w:val="1"/>
    <w:autoRedefine/>
    <w:qFormat/>
    <w:uiPriority w:val="0"/>
    <w:pPr>
      <w:numPr>
        <w:ilvl w:val="0"/>
        <w:numId w:val="1"/>
      </w:numPr>
    </w:pPr>
  </w:style>
  <w:style w:type="paragraph" w:styleId="6">
    <w:name w:val="annotation text"/>
    <w:basedOn w:val="1"/>
    <w:qFormat/>
    <w:uiPriority w:val="0"/>
    <w:pPr>
      <w:jc w:val="left"/>
    </w:pPr>
  </w:style>
  <w:style w:type="paragraph" w:styleId="7">
    <w:name w:val="Body Text"/>
    <w:basedOn w:val="1"/>
    <w:autoRedefine/>
    <w:semiHidden/>
    <w:unhideWhenUsed/>
    <w:qFormat/>
    <w:uiPriority w:val="99"/>
    <w:pPr>
      <w:spacing w:after="120"/>
    </w:pPr>
  </w:style>
  <w:style w:type="paragraph" w:styleId="8">
    <w:name w:val="Body Text Indent"/>
    <w:basedOn w:val="1"/>
    <w:next w:val="9"/>
    <w:autoRedefine/>
    <w:qFormat/>
    <w:uiPriority w:val="0"/>
    <w:pPr>
      <w:ind w:firstLine="560" w:firstLineChars="200"/>
    </w:pPr>
    <w:rPr>
      <w:rFonts w:ascii="宋体" w:hAnsi="宋体"/>
      <w:bCs/>
      <w:sz w:val="28"/>
      <w:szCs w:val="32"/>
    </w:rPr>
  </w:style>
  <w:style w:type="paragraph" w:styleId="9">
    <w:name w:val="envelope return"/>
    <w:basedOn w:val="1"/>
    <w:autoRedefine/>
    <w:qFormat/>
    <w:uiPriority w:val="0"/>
    <w:pPr>
      <w:snapToGrid w:val="0"/>
    </w:pPr>
    <w:rPr>
      <w:rFonts w:ascii="Arial" w:hAnsi="Arial"/>
    </w:rPr>
  </w:style>
  <w:style w:type="paragraph" w:styleId="10">
    <w:name w:val="Plain Text"/>
    <w:basedOn w:val="1"/>
    <w:autoRedefine/>
    <w:qFormat/>
    <w:uiPriority w:val="0"/>
    <w:rPr>
      <w:rFonts w:ascii="Courier New" w:hAnsi="Courier New"/>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semiHidden/>
    <w:unhideWhenUsed/>
    <w:qFormat/>
    <w:uiPriority w:val="99"/>
    <w:pPr>
      <w:pBdr>
        <w:bottom w:val="single" w:color="auto" w:sz="6" w:space="1"/>
      </w:pBdr>
      <w:tabs>
        <w:tab w:val="center" w:pos="4153"/>
        <w:tab w:val="right" w:pos="8306"/>
      </w:tabs>
      <w:jc w:val="center"/>
    </w:pPr>
    <w:rPr>
      <w:sz w:val="18"/>
      <w:szCs w:val="18"/>
    </w:rPr>
  </w:style>
  <w:style w:type="paragraph" w:styleId="13">
    <w:name w:val="List"/>
    <w:basedOn w:val="1"/>
    <w:autoRedefine/>
    <w:qFormat/>
    <w:uiPriority w:val="0"/>
    <w:pPr>
      <w:ind w:left="200" w:hanging="200" w:hangingChars="200"/>
    </w:pPr>
    <w:rPr>
      <w:rFonts w:ascii="Calibri" w:hAnsi="Calibri"/>
      <w:szCs w:val="22"/>
    </w:rPr>
  </w:style>
  <w:style w:type="paragraph" w:styleId="14">
    <w:name w:val="Body Text Indent 3"/>
    <w:basedOn w:val="1"/>
    <w:autoRedefine/>
    <w:qFormat/>
    <w:uiPriority w:val="0"/>
    <w:pPr>
      <w:spacing w:after="120"/>
      <w:ind w:left="420" w:leftChars="200"/>
    </w:pPr>
    <w:rPr>
      <w:sz w:val="16"/>
      <w:szCs w:val="16"/>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7"/>
    <w:autoRedefine/>
    <w:semiHidden/>
    <w:unhideWhenUsed/>
    <w:qFormat/>
    <w:uiPriority w:val="99"/>
    <w:pPr>
      <w:ind w:firstLine="420" w:firstLineChars="100"/>
    </w:pPr>
  </w:style>
  <w:style w:type="paragraph" w:styleId="17">
    <w:name w:val="Body Text First Indent 2"/>
    <w:basedOn w:val="8"/>
    <w:next w:val="1"/>
    <w:autoRedefine/>
    <w:unhideWhenUsed/>
    <w:qFormat/>
    <w:uiPriority w:val="99"/>
    <w:pPr>
      <w:spacing w:after="120"/>
      <w:ind w:left="420" w:leftChars="200" w:firstLine="420"/>
    </w:pPr>
    <w:rPr>
      <w:rFonts w:ascii="Times New Roman" w:hAnsi="Times New Roman"/>
      <w:bCs w:val="0"/>
      <w:sz w:val="21"/>
      <w:szCs w:val="24"/>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正文_0_0"/>
    <w:autoRedefine/>
    <w:qFormat/>
    <w:uiPriority w:val="0"/>
    <w:pPr>
      <w:widowControl w:val="0"/>
      <w:spacing w:after="0" w:line="240" w:lineRule="auto"/>
      <w:jc w:val="both"/>
    </w:pPr>
    <w:rPr>
      <w:rFonts w:ascii="Times New Roman" w:hAnsi="Times New Roman" w:eastAsia="宋体" w:cs="Times New Roman"/>
      <w:kern w:val="2"/>
      <w:sz w:val="21"/>
      <w:szCs w:val="20"/>
      <w:lang w:val="en-US" w:eastAsia="zh-CN" w:bidi="ar-SA"/>
    </w:rPr>
  </w:style>
  <w:style w:type="character" w:customStyle="1" w:styleId="22">
    <w:name w:val="NormalCharacter"/>
    <w:autoRedefine/>
    <w:qFormat/>
    <w:uiPriority w:val="0"/>
    <w:rPr>
      <w:rFonts w:ascii="Times New Roman" w:hAnsi="Times New Roman" w:eastAsia="宋体" w:cs="Times New Roman"/>
    </w:rPr>
  </w:style>
  <w:style w:type="paragraph" w:styleId="23">
    <w:name w:val="List Paragraph"/>
    <w:basedOn w:val="1"/>
    <w:autoRedefine/>
    <w:qFormat/>
    <w:uiPriority w:val="34"/>
    <w:pPr>
      <w:ind w:firstLine="420" w:firstLineChars="200"/>
    </w:pPr>
  </w:style>
  <w:style w:type="character" w:customStyle="1" w:styleId="24">
    <w:name w:val="font41"/>
    <w:basedOn w:val="20"/>
    <w:autoRedefine/>
    <w:qFormat/>
    <w:uiPriority w:val="0"/>
    <w:rPr>
      <w:rFonts w:hint="eastAsia" w:ascii="宋体" w:hAnsi="宋体" w:eastAsia="宋体" w:cs="宋体"/>
      <w:color w:val="000000"/>
      <w:sz w:val="24"/>
      <w:szCs w:val="24"/>
      <w:u w:val="none"/>
    </w:rPr>
  </w:style>
  <w:style w:type="character" w:customStyle="1" w:styleId="25">
    <w:name w:val="font21"/>
    <w:basedOn w:val="20"/>
    <w:qFormat/>
    <w:uiPriority w:val="0"/>
    <w:rPr>
      <w:rFonts w:hint="eastAsia" w:ascii="宋体" w:hAnsi="宋体" w:eastAsia="宋体" w:cs="宋体"/>
      <w:b/>
      <w:bCs/>
      <w:color w:val="000000"/>
      <w:sz w:val="20"/>
      <w:szCs w:val="20"/>
      <w:u w:val="none"/>
    </w:rPr>
  </w:style>
  <w:style w:type="character" w:customStyle="1" w:styleId="26">
    <w:name w:val="font11"/>
    <w:basedOn w:val="20"/>
    <w:qFormat/>
    <w:uiPriority w:val="0"/>
    <w:rPr>
      <w:rFonts w:hint="eastAsia" w:ascii="宋体" w:hAnsi="宋体" w:eastAsia="宋体" w:cs="宋体"/>
      <w:color w:val="000000"/>
      <w:sz w:val="20"/>
      <w:szCs w:val="20"/>
      <w:u w:val="none"/>
    </w:rPr>
  </w:style>
  <w:style w:type="character" w:customStyle="1" w:styleId="27">
    <w:name w:val="font81"/>
    <w:basedOn w:val="20"/>
    <w:qFormat/>
    <w:uiPriority w:val="0"/>
    <w:rPr>
      <w:rFonts w:ascii="Arial" w:hAnsi="Arial" w:cs="Arial"/>
      <w:color w:val="000000"/>
      <w:sz w:val="20"/>
      <w:szCs w:val="20"/>
      <w:u w:val="none"/>
    </w:rPr>
  </w:style>
  <w:style w:type="character" w:customStyle="1" w:styleId="28">
    <w:name w:val="font51"/>
    <w:basedOn w:val="20"/>
    <w:qFormat/>
    <w:uiPriority w:val="0"/>
    <w:rPr>
      <w:rFonts w:hint="eastAsia" w:ascii="宋体" w:hAnsi="宋体" w:eastAsia="宋体" w:cs="宋体"/>
      <w:color w:val="FF0000"/>
      <w:sz w:val="20"/>
      <w:szCs w:val="20"/>
      <w:u w:val="none"/>
    </w:rPr>
  </w:style>
  <w:style w:type="character" w:customStyle="1" w:styleId="29">
    <w:name w:val="font61"/>
    <w:basedOn w:val="20"/>
    <w:qFormat/>
    <w:uiPriority w:val="0"/>
    <w:rPr>
      <w:rFonts w:hint="default" w:ascii="Calibri" w:hAnsi="Calibri" w:cs="Calibri"/>
      <w:color w:val="000000"/>
      <w:sz w:val="20"/>
      <w:szCs w:val="20"/>
      <w:u w:val="none"/>
    </w:rPr>
  </w:style>
  <w:style w:type="character" w:customStyle="1" w:styleId="30">
    <w:name w:val="font01"/>
    <w:basedOn w:val="20"/>
    <w:qFormat/>
    <w:uiPriority w:val="0"/>
    <w:rPr>
      <w:rFonts w:hint="eastAsia" w:ascii="宋体" w:hAnsi="宋体" w:eastAsia="宋体" w:cs="宋体"/>
      <w:color w:val="000000"/>
      <w:sz w:val="22"/>
      <w:szCs w:val="22"/>
      <w:u w:val="none"/>
    </w:rPr>
  </w:style>
  <w:style w:type="character" w:customStyle="1" w:styleId="31">
    <w:name w:val="font91"/>
    <w:basedOn w:val="20"/>
    <w:qFormat/>
    <w:uiPriority w:val="0"/>
    <w:rPr>
      <w:rFonts w:hint="eastAsia" w:ascii="宋体" w:hAnsi="宋体" w:eastAsia="宋体" w:cs="宋体"/>
      <w:color w:val="000000"/>
      <w:sz w:val="20"/>
      <w:szCs w:val="20"/>
      <w:u w:val="none"/>
    </w:rPr>
  </w:style>
  <w:style w:type="character" w:customStyle="1" w:styleId="32">
    <w:name w:val="font101"/>
    <w:basedOn w:val="20"/>
    <w:qFormat/>
    <w:uiPriority w:val="0"/>
    <w:rPr>
      <w:rFonts w:ascii="Calibri" w:hAnsi="Calibri" w:cs="Calibri"/>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573</Words>
  <Characters>597</Characters>
  <Lines>0</Lines>
  <Paragraphs>0</Paragraphs>
  <TotalTime>1</TotalTime>
  <ScaleCrop>false</ScaleCrop>
  <LinksUpToDate>false</LinksUpToDate>
  <CharactersWithSpaces>609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2023-09-11T08:03:00Z</dcterms:created>
  <dc:creator>Administrator</dc:creator>
  <cp:lastModifiedBy>栖迟</cp:lastModifiedBy>
  <cp:lastPrinted>2024-10-31T02:12:00Z</cp:lastPrinted>
  <dcterms:modified xsi:type="dcterms:W3CDTF">2026-11-06T07:30:14Z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F94C8F000F504C4DAB5F50355DBF13F1_13</vt:lpwstr>
  </property>
  <property fmtid="{D5CDD505-2E9C-101B-9397-08002B2CF9AE}" pid="4" name="KSOTemplateDocerSaveRecord">
    <vt:lpwstr>eyJoZGlkIjoiOWUzMmZkNmQ3ZTRhMTIzMWVmZjFkZGNlZWQyYzdhMzAiLCJ1c2VySWQiOiI0NjUxMDQ1NzYifQ==</vt:lpwstr>
  </property>
</Properties>
</file>